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C033D" w14:textId="77777777" w:rsidR="009905CF" w:rsidRDefault="009905CF" w:rsidP="000049D8">
      <w:pPr>
        <w:pStyle w:val="a9"/>
        <w:tabs>
          <w:tab w:val="clear" w:pos="9639"/>
          <w:tab w:val="right" w:pos="5954"/>
        </w:tabs>
        <w:spacing w:after="240"/>
        <w:jc w:val="right"/>
        <w:rPr>
          <w:rFonts w:ascii="Calibri" w:hAnsi="Calibri"/>
        </w:rPr>
      </w:pPr>
    </w:p>
    <w:p w14:paraId="22E94D0E" w14:textId="5B2182B2" w:rsidR="00D019CE" w:rsidRPr="009905CF" w:rsidRDefault="00420A38" w:rsidP="009905CF">
      <w:pPr>
        <w:pStyle w:val="a9"/>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af"/>
          <w:rFonts w:ascii="Calibri" w:hAnsi="Calibri"/>
          <w:sz w:val="22"/>
          <w:vertAlign w:val="superscript"/>
        </w:rPr>
        <w:footnoteReference w:id="1"/>
      </w:r>
      <w:r w:rsidR="000049D8" w:rsidRPr="007A395D">
        <w:rPr>
          <w:rFonts w:ascii="Calibri" w:hAnsi="Calibri"/>
        </w:rPr>
        <w:t xml:space="preserve">  </w:t>
      </w:r>
      <w:r w:rsidR="00B8664C" w:rsidRPr="00A15597">
        <w:rPr>
          <w:rFonts w:ascii="Calibri" w:hAnsi="Calibri"/>
        </w:rPr>
        <w:t>DTEC</w:t>
      </w:r>
      <w:r w:rsidR="00713634" w:rsidRPr="00A15597">
        <w:rPr>
          <w:rFonts w:ascii="Calibri" w:hAnsi="Calibri" w:hint="eastAsia"/>
          <w:lang w:eastAsia="ja-JP"/>
        </w:rPr>
        <w:t>3</w:t>
      </w:r>
      <w:r w:rsidR="00B8664C" w:rsidRPr="00A15597">
        <w:rPr>
          <w:rFonts w:ascii="Calibri" w:hAnsi="Calibri"/>
        </w:rPr>
        <w:t>-</w:t>
      </w:r>
      <w:r w:rsidR="00A15597">
        <w:rPr>
          <w:rFonts w:ascii="Calibri" w:hAnsi="Calibri"/>
        </w:rPr>
        <w:t>5.2.3.13</w:t>
      </w:r>
    </w:p>
    <w:p w14:paraId="370CFB53" w14:textId="0056C39C" w:rsidR="0080294B" w:rsidRPr="007A395D" w:rsidRDefault="00E558C3" w:rsidP="00D43998">
      <w:pPr>
        <w:pStyle w:val="a1"/>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5889392" w:rsidR="0080294B" w:rsidRPr="007A395D" w:rsidRDefault="0080294B" w:rsidP="00D43998">
      <w:pPr>
        <w:pStyle w:val="a1"/>
        <w:rPr>
          <w:b/>
        </w:rPr>
      </w:pPr>
      <w:r w:rsidRPr="007A395D">
        <w:rPr>
          <w:b/>
        </w:rPr>
        <w:t>□</w:t>
      </w:r>
      <w:r w:rsidRPr="007A395D">
        <w:t xml:space="preserve">  ARM</w:t>
      </w:r>
      <w:r w:rsidR="00037DF4" w:rsidRPr="007A395D">
        <w:tab/>
      </w:r>
      <w:r w:rsidR="00DF25EC"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714E8B">
        <w:rPr>
          <w:rFonts w:hint="eastAsia"/>
          <w:lang w:eastAsia="ja-JP"/>
        </w:rPr>
        <w:t>X</w:t>
      </w:r>
      <w:r w:rsidRPr="007A395D">
        <w:t xml:space="preserve">  Input</w:t>
      </w:r>
    </w:p>
    <w:p w14:paraId="0BC79547" w14:textId="31D3DE58" w:rsidR="0080294B" w:rsidRPr="007A395D" w:rsidRDefault="00DF25EC" w:rsidP="00D43998">
      <w:pPr>
        <w:pStyle w:val="a1"/>
      </w:pPr>
      <w:r>
        <w:t>X</w:t>
      </w:r>
      <w:r w:rsidR="0080294B" w:rsidRPr="007A395D">
        <w:t xml:space="preserve">  </w:t>
      </w:r>
      <w:r w:rsidR="00B61923">
        <w:t>DTEC</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3E1C02C4" w14:textId="77777777" w:rsidR="0080294B" w:rsidRPr="007A395D" w:rsidRDefault="0080294B" w:rsidP="00D43998">
      <w:pPr>
        <w:pStyle w:val="a1"/>
      </w:pPr>
    </w:p>
    <w:p w14:paraId="4DD25FD9" w14:textId="2518AD1A" w:rsidR="00A446C9" w:rsidRPr="007A395D" w:rsidRDefault="00A446C9" w:rsidP="00D43998">
      <w:pPr>
        <w:pStyle w:val="a1"/>
      </w:pPr>
      <w:r w:rsidRPr="007A395D">
        <w:t>Agenda item</w:t>
      </w:r>
      <w:r w:rsidR="00037DF4" w:rsidRPr="007A395D">
        <w:t xml:space="preserve"> </w:t>
      </w:r>
      <w:r w:rsidR="00037DF4" w:rsidRPr="007A395D">
        <w:rPr>
          <w:rStyle w:val="af"/>
          <w:rFonts w:ascii="Calibri" w:hAnsi="Calibri"/>
          <w:sz w:val="22"/>
          <w:vertAlign w:val="superscript"/>
        </w:rPr>
        <w:footnoteReference w:id="2"/>
      </w:r>
      <w:r w:rsidR="001C44A3" w:rsidRPr="007A395D">
        <w:tab/>
      </w:r>
      <w:r w:rsidR="0080294B" w:rsidRPr="007A395D">
        <w:tab/>
      </w:r>
      <w:r w:rsidR="0080294B" w:rsidRPr="007A395D">
        <w:tab/>
      </w:r>
      <w:r w:rsidR="009905CF">
        <w:tab/>
      </w:r>
      <w:r w:rsidR="00AB3589">
        <w:t>3.</w:t>
      </w:r>
    </w:p>
    <w:p w14:paraId="1AB3E246" w14:textId="6C61CCC4" w:rsidR="00A446C9" w:rsidRPr="007A395D" w:rsidRDefault="0080294B" w:rsidP="00D43998">
      <w:pPr>
        <w:pStyle w:val="a1"/>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AB3589">
        <w:t>-</w:t>
      </w:r>
    </w:p>
    <w:p w14:paraId="60BCC120" w14:textId="3B0ADABC" w:rsidR="0080294B" w:rsidRPr="007A395D" w:rsidRDefault="00362CD9" w:rsidP="00D43998">
      <w:pPr>
        <w:pStyle w:val="a1"/>
      </w:pPr>
      <w:r w:rsidRPr="007A395D">
        <w:t>Author(s)</w:t>
      </w:r>
      <w:r w:rsidR="00FE5674" w:rsidRPr="007A395D">
        <w:t xml:space="preserve"> / Submitter(s)</w:t>
      </w:r>
      <w:r w:rsidRPr="007A395D">
        <w:tab/>
      </w:r>
      <w:r w:rsidR="0080294B" w:rsidRPr="007A395D">
        <w:tab/>
      </w:r>
      <w:r w:rsidR="0080294B" w:rsidRPr="007A395D">
        <w:tab/>
      </w:r>
      <w:r w:rsidR="00AB3589" w:rsidRPr="000C5EF2">
        <w:rPr>
          <w:highlight w:val="yellow"/>
        </w:rPr>
        <w:t>Secretariat</w:t>
      </w:r>
      <w:r w:rsidR="000C5EF2" w:rsidRPr="000C5EF2">
        <w:rPr>
          <w:highlight w:val="yellow"/>
        </w:rPr>
        <w:t xml:space="preserve"> and China MSA</w:t>
      </w:r>
    </w:p>
    <w:p w14:paraId="544CEF1A" w14:textId="77777777" w:rsidR="00AB3589" w:rsidRDefault="00AB3589" w:rsidP="00714E8B">
      <w:pPr>
        <w:pStyle w:val="af4"/>
        <w:rPr>
          <w:rFonts w:ascii="Calibri" w:hAnsi="Calibri"/>
          <w:color w:val="0070C0"/>
        </w:rPr>
      </w:pPr>
    </w:p>
    <w:p w14:paraId="47E2C7B9" w14:textId="0E64AF5F" w:rsidR="00714E8B" w:rsidRPr="00605E43" w:rsidRDefault="000C5EF2" w:rsidP="00714E8B">
      <w:pPr>
        <w:pStyle w:val="af4"/>
        <w:rPr>
          <w:rFonts w:ascii="Calibri" w:hAnsi="Calibri"/>
          <w:color w:val="0070C0"/>
        </w:rPr>
      </w:pPr>
      <w:r>
        <w:rPr>
          <w:rFonts w:ascii="Calibri" w:hAnsi="Calibri"/>
          <w:color w:val="0070C0"/>
        </w:rPr>
        <w:t xml:space="preserve">Statement on </w:t>
      </w:r>
      <w:r w:rsidR="00EC257E">
        <w:rPr>
          <w:rFonts w:ascii="Calibri" w:hAnsi="Calibri"/>
          <w:color w:val="0070C0"/>
        </w:rPr>
        <w:t xml:space="preserve">patents relating to </w:t>
      </w:r>
      <w:r w:rsidR="005775A5">
        <w:rPr>
          <w:rFonts w:ascii="Calibri" w:hAnsi="Calibri"/>
          <w:color w:val="0070C0"/>
        </w:rPr>
        <w:t>VDES</w:t>
      </w:r>
    </w:p>
    <w:p w14:paraId="6214E9A8" w14:textId="637D153B" w:rsidR="00714E8B" w:rsidRPr="00605E43" w:rsidRDefault="00714E8B" w:rsidP="00714E8B">
      <w:pPr>
        <w:pStyle w:val="1"/>
        <w:numPr>
          <w:ilvl w:val="0"/>
          <w:numId w:val="0"/>
        </w:numPr>
      </w:pPr>
      <w:r>
        <w:t>1</w:t>
      </w:r>
      <w:r>
        <w:tab/>
      </w:r>
      <w:r w:rsidR="00604018">
        <w:t>Summary</w:t>
      </w:r>
    </w:p>
    <w:p w14:paraId="27578482" w14:textId="1BA23A8E" w:rsidR="005775A5" w:rsidRDefault="00571F70" w:rsidP="00571F70">
      <w:pPr>
        <w:pStyle w:val="Default"/>
        <w:spacing w:afterLines="50" w:after="120"/>
        <w:jc w:val="both"/>
        <w:rPr>
          <w:sz w:val="22"/>
          <w:szCs w:val="22"/>
        </w:rPr>
      </w:pPr>
      <w:r>
        <w:rPr>
          <w:sz w:val="22"/>
          <w:szCs w:val="22"/>
        </w:rPr>
        <w:t>Some members of DTEC have expressed concerns regarding the existence of s</w:t>
      </w:r>
      <w:r w:rsidR="00274DCE">
        <w:rPr>
          <w:sz w:val="22"/>
          <w:szCs w:val="22"/>
        </w:rPr>
        <w:t>evera</w:t>
      </w:r>
      <w:r w:rsidR="00BB47E8">
        <w:rPr>
          <w:sz w:val="22"/>
          <w:szCs w:val="22"/>
        </w:rPr>
        <w:t>l</w:t>
      </w:r>
      <w:r>
        <w:rPr>
          <w:sz w:val="22"/>
          <w:szCs w:val="22"/>
        </w:rPr>
        <w:t xml:space="preserve"> related Chinese patents</w:t>
      </w:r>
      <w:r w:rsidR="005775A5">
        <w:rPr>
          <w:sz w:val="22"/>
          <w:szCs w:val="22"/>
        </w:rPr>
        <w:t>, and possible unresolved intellectual property right issues relating to IALA publications.</w:t>
      </w:r>
    </w:p>
    <w:p w14:paraId="1A113F00" w14:textId="02FC0F5B" w:rsidR="00BB47E8" w:rsidRDefault="005775A5" w:rsidP="00571F70">
      <w:pPr>
        <w:pStyle w:val="Default"/>
        <w:spacing w:afterLines="50" w:after="120"/>
        <w:jc w:val="both"/>
        <w:rPr>
          <w:sz w:val="22"/>
          <w:szCs w:val="22"/>
          <w:lang w:val="en-GB"/>
        </w:rPr>
      </w:pPr>
      <w:r>
        <w:rPr>
          <w:sz w:val="22"/>
          <w:szCs w:val="22"/>
        </w:rPr>
        <w:t xml:space="preserve">The Secretariat reached out to China MSA, who facilitated a dialogue </w:t>
      </w:r>
      <w:r w:rsidR="00604018">
        <w:rPr>
          <w:sz w:val="22"/>
          <w:szCs w:val="22"/>
        </w:rPr>
        <w:t xml:space="preserve">with </w:t>
      </w:r>
      <w:r w:rsidR="00BB47E8">
        <w:rPr>
          <w:sz w:val="22"/>
          <w:szCs w:val="22"/>
        </w:rPr>
        <w:t xml:space="preserve">the </w:t>
      </w:r>
      <w:bookmarkStart w:id="0" w:name="_Hlk178138747"/>
      <w:r w:rsidR="00BB47E8" w:rsidRPr="00BB47E8">
        <w:rPr>
          <w:sz w:val="22"/>
          <w:szCs w:val="22"/>
          <w:lang w:val="en-GB"/>
        </w:rPr>
        <w:t>Maritime Intelligent Communication and Navigation Technology</w:t>
      </w:r>
      <w:r w:rsidR="00BB47E8">
        <w:rPr>
          <w:sz w:val="22"/>
          <w:szCs w:val="22"/>
          <w:lang w:val="en-GB"/>
        </w:rPr>
        <w:t xml:space="preserve"> </w:t>
      </w:r>
      <w:r w:rsidR="004C3D13">
        <w:rPr>
          <w:sz w:val="22"/>
          <w:szCs w:val="22"/>
          <w:lang w:val="en-GB"/>
        </w:rPr>
        <w:t>r</w:t>
      </w:r>
      <w:r w:rsidR="00BB47E8">
        <w:rPr>
          <w:sz w:val="22"/>
          <w:szCs w:val="22"/>
          <w:lang w:val="en-GB"/>
        </w:rPr>
        <w:t xml:space="preserve">esearch </w:t>
      </w:r>
      <w:r w:rsidR="004C3D13">
        <w:rPr>
          <w:sz w:val="22"/>
          <w:szCs w:val="22"/>
          <w:lang w:val="en-GB"/>
        </w:rPr>
        <w:t>t</w:t>
      </w:r>
      <w:r w:rsidR="00BB47E8">
        <w:rPr>
          <w:sz w:val="22"/>
          <w:szCs w:val="22"/>
          <w:lang w:val="en-GB"/>
        </w:rPr>
        <w:t>eam</w:t>
      </w:r>
      <w:r w:rsidR="00BB47E8" w:rsidRPr="00BB47E8">
        <w:rPr>
          <w:sz w:val="22"/>
          <w:szCs w:val="22"/>
          <w:lang w:val="en-GB"/>
        </w:rPr>
        <w:t xml:space="preserve"> </w:t>
      </w:r>
      <w:r w:rsidR="00BB47E8">
        <w:rPr>
          <w:sz w:val="22"/>
          <w:szCs w:val="22"/>
          <w:lang w:val="en-GB"/>
        </w:rPr>
        <w:t>at</w:t>
      </w:r>
      <w:r w:rsidR="00BB47E8" w:rsidRPr="00BB47E8">
        <w:rPr>
          <w:sz w:val="22"/>
          <w:szCs w:val="22"/>
          <w:lang w:val="en-GB"/>
        </w:rPr>
        <w:t xml:space="preserve"> Dalian Maritime University</w:t>
      </w:r>
      <w:r w:rsidR="00604018">
        <w:rPr>
          <w:sz w:val="22"/>
          <w:szCs w:val="22"/>
          <w:lang w:val="en-GB"/>
        </w:rPr>
        <w:t xml:space="preserve"> </w:t>
      </w:r>
      <w:bookmarkEnd w:id="0"/>
      <w:r w:rsidR="000825D7">
        <w:rPr>
          <w:sz w:val="22"/>
          <w:szCs w:val="22"/>
          <w:lang w:val="en-GB"/>
        </w:rPr>
        <w:t xml:space="preserve">in China </w:t>
      </w:r>
      <w:r w:rsidR="00604018">
        <w:rPr>
          <w:sz w:val="22"/>
          <w:szCs w:val="22"/>
          <w:lang w:val="en-GB"/>
        </w:rPr>
        <w:t xml:space="preserve">who have filed for five </w:t>
      </w:r>
      <w:r w:rsidR="00F65B5D">
        <w:rPr>
          <w:sz w:val="22"/>
          <w:szCs w:val="22"/>
          <w:lang w:val="en-GB"/>
        </w:rPr>
        <w:t>VDES related</w:t>
      </w:r>
      <w:r w:rsidR="00604018">
        <w:rPr>
          <w:sz w:val="22"/>
          <w:szCs w:val="22"/>
          <w:lang w:val="en-GB"/>
        </w:rPr>
        <w:t xml:space="preserve"> Chinese patents</w:t>
      </w:r>
      <w:r w:rsidR="00BB47E8">
        <w:rPr>
          <w:sz w:val="22"/>
          <w:szCs w:val="22"/>
          <w:lang w:val="en-GB"/>
        </w:rPr>
        <w:t>.</w:t>
      </w:r>
    </w:p>
    <w:p w14:paraId="07116B49" w14:textId="77777777" w:rsidR="000C5EF2" w:rsidRDefault="000C5EF2" w:rsidP="00571F70">
      <w:pPr>
        <w:pStyle w:val="Default"/>
        <w:spacing w:afterLines="50" w:after="120"/>
        <w:jc w:val="both"/>
        <w:rPr>
          <w:sz w:val="22"/>
          <w:szCs w:val="22"/>
        </w:rPr>
      </w:pPr>
      <w:r w:rsidRPr="000C5EF2">
        <w:rPr>
          <w:sz w:val="22"/>
          <w:szCs w:val="22"/>
        </w:rPr>
        <w:t>The r</w:t>
      </w:r>
      <w:r>
        <w:rPr>
          <w:sz w:val="22"/>
          <w:szCs w:val="22"/>
        </w:rPr>
        <w:t>esearch</w:t>
      </w:r>
      <w:r w:rsidR="00604018">
        <w:rPr>
          <w:sz w:val="22"/>
          <w:szCs w:val="22"/>
        </w:rPr>
        <w:t xml:space="preserve"> team </w:t>
      </w:r>
      <w:r w:rsidR="00604018" w:rsidRPr="00274DCE">
        <w:rPr>
          <w:sz w:val="22"/>
          <w:szCs w:val="22"/>
        </w:rPr>
        <w:t xml:space="preserve">clarified that </w:t>
      </w:r>
      <w:r w:rsidR="00334D5E">
        <w:rPr>
          <w:sz w:val="22"/>
          <w:szCs w:val="22"/>
        </w:rPr>
        <w:t xml:space="preserve">none of </w:t>
      </w:r>
      <w:r w:rsidR="00604018" w:rsidRPr="00274DCE">
        <w:rPr>
          <w:sz w:val="22"/>
          <w:szCs w:val="22"/>
        </w:rPr>
        <w:t>the</w:t>
      </w:r>
      <w:r w:rsidR="00334D5E">
        <w:rPr>
          <w:sz w:val="22"/>
          <w:szCs w:val="22"/>
        </w:rPr>
        <w:t>ir</w:t>
      </w:r>
      <w:r w:rsidR="00604018">
        <w:rPr>
          <w:sz w:val="22"/>
          <w:szCs w:val="22"/>
        </w:rPr>
        <w:t xml:space="preserve"> five</w:t>
      </w:r>
      <w:r w:rsidR="00334D5E">
        <w:rPr>
          <w:sz w:val="22"/>
          <w:szCs w:val="22"/>
        </w:rPr>
        <w:t xml:space="preserve"> </w:t>
      </w:r>
      <w:r w:rsidR="00604018" w:rsidRPr="00274DCE">
        <w:rPr>
          <w:sz w:val="22"/>
          <w:szCs w:val="22"/>
        </w:rPr>
        <w:t>patents overlap with IALA's publications and</w:t>
      </w:r>
      <w:r w:rsidR="00604018">
        <w:rPr>
          <w:sz w:val="22"/>
          <w:szCs w:val="22"/>
        </w:rPr>
        <w:t xml:space="preserve"> </w:t>
      </w:r>
      <w:r w:rsidR="00604018" w:rsidRPr="00274DCE">
        <w:rPr>
          <w:sz w:val="22"/>
          <w:szCs w:val="22"/>
        </w:rPr>
        <w:t>offered to issue a declaration allowing IALA and its members to use th</w:t>
      </w:r>
      <w:r>
        <w:rPr>
          <w:sz w:val="22"/>
          <w:szCs w:val="22"/>
        </w:rPr>
        <w:t>ese five</w:t>
      </w:r>
      <w:r w:rsidR="00604018" w:rsidRPr="00274DCE">
        <w:rPr>
          <w:sz w:val="22"/>
          <w:szCs w:val="22"/>
        </w:rPr>
        <w:t xml:space="preserve"> patents free of charge</w:t>
      </w:r>
      <w:r w:rsidR="005F7167">
        <w:rPr>
          <w:sz w:val="22"/>
          <w:szCs w:val="22"/>
        </w:rPr>
        <w:t>,</w:t>
      </w:r>
      <w:r w:rsidR="00604018" w:rsidRPr="00274DCE">
        <w:rPr>
          <w:sz w:val="22"/>
          <w:szCs w:val="22"/>
        </w:rPr>
        <w:t xml:space="preserve"> if needed.</w:t>
      </w:r>
    </w:p>
    <w:p w14:paraId="1C061965" w14:textId="7DDA6439" w:rsidR="00604018" w:rsidRDefault="000C5EF2" w:rsidP="00571F70">
      <w:pPr>
        <w:pStyle w:val="Default"/>
        <w:spacing w:afterLines="50" w:after="120"/>
        <w:jc w:val="both"/>
        <w:rPr>
          <w:sz w:val="22"/>
          <w:szCs w:val="22"/>
        </w:rPr>
      </w:pPr>
      <w:r w:rsidRPr="000C5EF2">
        <w:rPr>
          <w:sz w:val="22"/>
          <w:szCs w:val="22"/>
        </w:rPr>
        <w:t>IALA and the China Maritime Safety Administration would like to take this opportunity to call upon all IALA members to have a detailed understanding of the IALA Patent Policy and to react in a timely manner to provide appropriate solutions to possible Intellectual Property Rights issues.</w:t>
      </w:r>
    </w:p>
    <w:p w14:paraId="0396D0C5" w14:textId="77777777" w:rsidR="00714E8B" w:rsidRPr="007A395D" w:rsidRDefault="00714E8B" w:rsidP="00714E8B">
      <w:pPr>
        <w:pStyle w:val="2"/>
        <w:numPr>
          <w:ilvl w:val="0"/>
          <w:numId w:val="0"/>
        </w:numPr>
      </w:pPr>
      <w:r>
        <w:t>2</w:t>
      </w:r>
      <w:r>
        <w:tab/>
        <w:t>RELATED DOCUMENTS</w:t>
      </w:r>
    </w:p>
    <w:p w14:paraId="31FDCCE0" w14:textId="4EBEE076" w:rsidR="00FE0A2B" w:rsidRDefault="00FE0A2B" w:rsidP="00D43998">
      <w:pPr>
        <w:pStyle w:val="a1"/>
        <w:rPr>
          <w:lang w:eastAsia="ja-JP"/>
        </w:rPr>
      </w:pPr>
      <w:r>
        <w:rPr>
          <w:lang w:eastAsia="ja-JP"/>
        </w:rPr>
        <w:t>IALA</w:t>
      </w:r>
      <w:r w:rsidRPr="00FE0A2B">
        <w:rPr>
          <w:lang w:eastAsia="ja-JP"/>
        </w:rPr>
        <w:t xml:space="preserve"> Patent Policy and associated procedures</w:t>
      </w:r>
    </w:p>
    <w:p w14:paraId="2DE38EBB" w14:textId="10B119F2" w:rsidR="00714E8B" w:rsidRPr="007A395D" w:rsidRDefault="000C5EF2" w:rsidP="00714E8B">
      <w:pPr>
        <w:pStyle w:val="1"/>
        <w:numPr>
          <w:ilvl w:val="0"/>
          <w:numId w:val="0"/>
        </w:numPr>
      </w:pPr>
      <w:r>
        <w:t>3</w:t>
      </w:r>
      <w:r w:rsidR="00714E8B">
        <w:tab/>
      </w:r>
      <w:r w:rsidR="00714E8B" w:rsidRPr="007A395D">
        <w:t>Discussion</w:t>
      </w:r>
    </w:p>
    <w:p w14:paraId="5F30568C" w14:textId="77777777" w:rsidR="00FE0A2B" w:rsidRPr="00FE0A2B" w:rsidRDefault="00FE0A2B" w:rsidP="00FE0A2B">
      <w:pPr>
        <w:pStyle w:val="Default"/>
        <w:spacing w:afterLines="50" w:after="120"/>
        <w:jc w:val="both"/>
        <w:rPr>
          <w:sz w:val="22"/>
          <w:szCs w:val="22"/>
        </w:rPr>
      </w:pPr>
      <w:r w:rsidRPr="00FE0A2B">
        <w:rPr>
          <w:sz w:val="22"/>
          <w:szCs w:val="22"/>
        </w:rPr>
        <w:t xml:space="preserve">IALA intends to develop Standards, Recommendations, Guidelines, Manuals and other guidance, i.e. “IALA Documents” that are free for use by the public in general and that are accessible to the public. </w:t>
      </w:r>
    </w:p>
    <w:p w14:paraId="5C753191" w14:textId="77777777" w:rsidR="00FE0A2B" w:rsidRPr="00FE0A2B" w:rsidRDefault="00FE0A2B" w:rsidP="00FE0A2B">
      <w:pPr>
        <w:pStyle w:val="Default"/>
        <w:spacing w:afterLines="50" w:after="120"/>
        <w:jc w:val="both"/>
        <w:rPr>
          <w:sz w:val="22"/>
          <w:szCs w:val="22"/>
        </w:rPr>
      </w:pPr>
      <w:r w:rsidRPr="00FE0A2B">
        <w:rPr>
          <w:sz w:val="22"/>
          <w:szCs w:val="22"/>
        </w:rPr>
        <w:t>Therefore, IALA Documents should be kept free of subject matters, which could infringe patents or patent applications unless a free Patent License or a Patent License on reasonable terms is available.</w:t>
      </w:r>
    </w:p>
    <w:p w14:paraId="0E157379" w14:textId="5E173D28" w:rsidR="002415BD" w:rsidRDefault="00FE0A2B" w:rsidP="004923F3">
      <w:pPr>
        <w:pStyle w:val="Default"/>
        <w:spacing w:afterLines="50" w:after="120"/>
        <w:jc w:val="both"/>
        <w:rPr>
          <w:sz w:val="22"/>
          <w:szCs w:val="22"/>
        </w:rPr>
      </w:pPr>
      <w:r w:rsidRPr="00FE0A2B">
        <w:rPr>
          <w:sz w:val="22"/>
          <w:szCs w:val="22"/>
        </w:rPr>
        <w:t xml:space="preserve">IALA Committees follow the procedures </w:t>
      </w:r>
      <w:r w:rsidR="004923F3">
        <w:rPr>
          <w:sz w:val="22"/>
          <w:szCs w:val="22"/>
        </w:rPr>
        <w:t xml:space="preserve">described </w:t>
      </w:r>
      <w:r w:rsidRPr="00FE0A2B">
        <w:rPr>
          <w:sz w:val="22"/>
          <w:szCs w:val="22"/>
        </w:rPr>
        <w:t xml:space="preserve">in </w:t>
      </w:r>
      <w:r w:rsidR="004923F3">
        <w:rPr>
          <w:sz w:val="22"/>
          <w:szCs w:val="22"/>
        </w:rPr>
        <w:t xml:space="preserve">the </w:t>
      </w:r>
      <w:r w:rsidRPr="004923F3">
        <w:rPr>
          <w:sz w:val="22"/>
          <w:szCs w:val="22"/>
        </w:rPr>
        <w:t>IALA Patent Policy</w:t>
      </w:r>
      <w:r w:rsidR="002415BD">
        <w:rPr>
          <w:sz w:val="22"/>
          <w:szCs w:val="22"/>
        </w:rPr>
        <w:t xml:space="preserve"> which includes p</w:t>
      </w:r>
      <w:r w:rsidR="002415BD" w:rsidRPr="002415BD">
        <w:rPr>
          <w:sz w:val="22"/>
          <w:szCs w:val="22"/>
        </w:rPr>
        <w:t>rompting for patent disclosures at IALA Committee meetings</w:t>
      </w:r>
      <w:r w:rsidR="002415BD">
        <w:rPr>
          <w:sz w:val="22"/>
          <w:szCs w:val="22"/>
        </w:rPr>
        <w:t>.</w:t>
      </w:r>
    </w:p>
    <w:p w14:paraId="6539DF6F" w14:textId="267A376C" w:rsidR="002415BD" w:rsidRPr="002415BD" w:rsidRDefault="002415BD" w:rsidP="002415BD">
      <w:pPr>
        <w:pStyle w:val="Default"/>
        <w:spacing w:afterLines="50" w:after="120"/>
        <w:jc w:val="both"/>
        <w:rPr>
          <w:sz w:val="22"/>
          <w:szCs w:val="22"/>
        </w:rPr>
      </w:pPr>
      <w:r w:rsidRPr="002415BD">
        <w:rPr>
          <w:sz w:val="22"/>
          <w:szCs w:val="22"/>
        </w:rPr>
        <w:t xml:space="preserve">Committee participants must inform the Chair of their Committee about their own Patents and pending public Patent Applications or Patents and Patents Application of which they have knowledge, which are or may become relevant for the work of IALA. </w:t>
      </w:r>
    </w:p>
    <w:p w14:paraId="40AC6485" w14:textId="783D80A9" w:rsidR="002415BD" w:rsidRDefault="002415BD" w:rsidP="002415BD">
      <w:pPr>
        <w:pStyle w:val="Default"/>
        <w:spacing w:afterLines="50" w:after="120"/>
        <w:jc w:val="both"/>
        <w:rPr>
          <w:sz w:val="22"/>
          <w:szCs w:val="22"/>
        </w:rPr>
      </w:pPr>
      <w:r w:rsidRPr="002415BD">
        <w:rPr>
          <w:sz w:val="22"/>
          <w:szCs w:val="22"/>
        </w:rPr>
        <w:t xml:space="preserve">IALA Committee participants must also inform the Chair of their Committee in a timely manner about any subject matter in IALA Documents that might be Patentable subject matter with the aim that this subject </w:t>
      </w:r>
      <w:r w:rsidRPr="002415BD">
        <w:rPr>
          <w:sz w:val="22"/>
          <w:szCs w:val="22"/>
        </w:rPr>
        <w:lastRenderedPageBreak/>
        <w:t>matter be published by IALA to prevent third party’s patenting thereof.</w:t>
      </w:r>
    </w:p>
    <w:p w14:paraId="541FC2B0" w14:textId="3905C9B0" w:rsidR="00F77904" w:rsidRDefault="00F77904" w:rsidP="00D43998">
      <w:pPr>
        <w:pStyle w:val="a1"/>
      </w:pPr>
      <w:r w:rsidRPr="00602DF2">
        <w:t xml:space="preserve">In the event that during </w:t>
      </w:r>
      <w:r w:rsidRPr="00D43998">
        <w:t>the</w:t>
      </w:r>
      <w:r w:rsidRPr="00602DF2">
        <w:t xml:space="preserve"> development of IALA documents p</w:t>
      </w:r>
      <w:r w:rsidR="00970F06" w:rsidRPr="00602DF2">
        <w:t>atentable subject matter is detected</w:t>
      </w:r>
      <w:r w:rsidRPr="00602DF2">
        <w:t xml:space="preserve">, </w:t>
      </w:r>
      <w:r w:rsidR="00970F06" w:rsidRPr="00602DF2">
        <w:t xml:space="preserve">IALA </w:t>
      </w:r>
      <w:r w:rsidRPr="00602DF2">
        <w:t xml:space="preserve">should </w:t>
      </w:r>
      <w:r w:rsidR="00970F06" w:rsidRPr="00602DF2">
        <w:t>endeavour to publish this subject matter to eliminate the risk that a third party attempts to patent the subject matter, and thereby hinders the work of the IALA Committees.</w:t>
      </w:r>
    </w:p>
    <w:p w14:paraId="0F677AD2" w14:textId="52E48D97" w:rsidR="00F65B5D" w:rsidRPr="000825D7" w:rsidRDefault="00F77904" w:rsidP="009905CF">
      <w:pPr>
        <w:pStyle w:val="a1"/>
      </w:pPr>
      <w:r w:rsidRPr="00602DF2">
        <w:t>In the event that already p</w:t>
      </w:r>
      <w:r w:rsidR="00970F06" w:rsidRPr="00602DF2">
        <w:t>atented subject matter is detected</w:t>
      </w:r>
      <w:r w:rsidRPr="00602DF2">
        <w:t xml:space="preserve">, </w:t>
      </w:r>
      <w:r w:rsidR="00970F06" w:rsidRPr="00602DF2">
        <w:t>IALA</w:t>
      </w:r>
      <w:r w:rsidRPr="00602DF2">
        <w:t xml:space="preserve"> should</w:t>
      </w:r>
      <w:r w:rsidR="00970F06" w:rsidRPr="00602DF2">
        <w:t xml:space="preserve"> </w:t>
      </w:r>
      <w:r w:rsidR="009905CF" w:rsidRPr="00602DF2">
        <w:t>endeavor</w:t>
      </w:r>
      <w:r w:rsidR="00970F06" w:rsidRPr="00602DF2">
        <w:t xml:space="preserve"> to approach the </w:t>
      </w:r>
      <w:r w:rsidRPr="00602DF2">
        <w:t>p</w:t>
      </w:r>
      <w:r w:rsidR="00970F06" w:rsidRPr="00602DF2">
        <w:t>atent owner</w:t>
      </w:r>
      <w:r w:rsidRPr="00602DF2">
        <w:t>(s)</w:t>
      </w:r>
      <w:r w:rsidR="00970F06" w:rsidRPr="00602DF2">
        <w:t xml:space="preserve"> to establish whether a free License can be obtained and on what conditions. </w:t>
      </w:r>
    </w:p>
    <w:p w14:paraId="747FA35A" w14:textId="01399435" w:rsidR="00A23944" w:rsidRDefault="000825D7" w:rsidP="005F7167">
      <w:pPr>
        <w:pStyle w:val="Default"/>
        <w:spacing w:afterLines="50" w:after="120"/>
        <w:jc w:val="both"/>
        <w:rPr>
          <w:sz w:val="22"/>
          <w:szCs w:val="22"/>
        </w:rPr>
      </w:pPr>
      <w:r>
        <w:rPr>
          <w:sz w:val="22"/>
          <w:szCs w:val="22"/>
        </w:rPr>
        <w:t xml:space="preserve">In the current case, the Secretariat reached out to China MSA, who facilitated a dialogue with the </w:t>
      </w:r>
      <w:r w:rsidRPr="00BB47E8">
        <w:rPr>
          <w:sz w:val="22"/>
          <w:szCs w:val="22"/>
          <w:lang w:val="en-GB"/>
        </w:rPr>
        <w:t>Maritime Intelligent Communication and Navigation Technology</w:t>
      </w:r>
      <w:r>
        <w:rPr>
          <w:sz w:val="22"/>
          <w:szCs w:val="22"/>
          <w:lang w:val="en-GB"/>
        </w:rPr>
        <w:t xml:space="preserve"> </w:t>
      </w:r>
      <w:r w:rsidR="00F65B5D">
        <w:rPr>
          <w:sz w:val="22"/>
          <w:szCs w:val="22"/>
          <w:lang w:val="en-GB"/>
        </w:rPr>
        <w:t>r</w:t>
      </w:r>
      <w:r>
        <w:rPr>
          <w:sz w:val="22"/>
          <w:szCs w:val="22"/>
          <w:lang w:val="en-GB"/>
        </w:rPr>
        <w:t xml:space="preserve">esearch </w:t>
      </w:r>
      <w:r w:rsidR="00F65B5D">
        <w:rPr>
          <w:sz w:val="22"/>
          <w:szCs w:val="22"/>
          <w:lang w:val="en-GB"/>
        </w:rPr>
        <w:t>t</w:t>
      </w:r>
      <w:r>
        <w:rPr>
          <w:sz w:val="22"/>
          <w:szCs w:val="22"/>
          <w:lang w:val="en-GB"/>
        </w:rPr>
        <w:t>eam</w:t>
      </w:r>
      <w:r w:rsidRPr="00BB47E8">
        <w:rPr>
          <w:sz w:val="22"/>
          <w:szCs w:val="22"/>
          <w:lang w:val="en-GB"/>
        </w:rPr>
        <w:t xml:space="preserve"> </w:t>
      </w:r>
      <w:r>
        <w:rPr>
          <w:sz w:val="22"/>
          <w:szCs w:val="22"/>
          <w:lang w:val="en-GB"/>
        </w:rPr>
        <w:t>at</w:t>
      </w:r>
      <w:r w:rsidRPr="00BB47E8">
        <w:rPr>
          <w:sz w:val="22"/>
          <w:szCs w:val="22"/>
          <w:lang w:val="en-GB"/>
        </w:rPr>
        <w:t xml:space="preserve"> Dalian Maritime University</w:t>
      </w:r>
      <w:r>
        <w:rPr>
          <w:sz w:val="22"/>
          <w:szCs w:val="22"/>
          <w:lang w:val="en-GB"/>
        </w:rPr>
        <w:t xml:space="preserve"> who have filed for five of Chinese patents. </w:t>
      </w:r>
      <w:r>
        <w:rPr>
          <w:sz w:val="22"/>
          <w:szCs w:val="22"/>
        </w:rPr>
        <w:t xml:space="preserve">Dr. </w:t>
      </w:r>
      <w:r w:rsidRPr="00274DCE">
        <w:rPr>
          <w:sz w:val="22"/>
          <w:szCs w:val="22"/>
        </w:rPr>
        <w:t xml:space="preserve">Shuaiheng Huai </w:t>
      </w:r>
      <w:r>
        <w:rPr>
          <w:sz w:val="22"/>
          <w:szCs w:val="22"/>
        </w:rPr>
        <w:t xml:space="preserve">from the research team </w:t>
      </w:r>
      <w:r w:rsidRPr="00274DCE">
        <w:rPr>
          <w:sz w:val="22"/>
          <w:szCs w:val="22"/>
        </w:rPr>
        <w:t xml:space="preserve">clarified that </w:t>
      </w:r>
      <w:r>
        <w:rPr>
          <w:sz w:val="22"/>
          <w:szCs w:val="22"/>
        </w:rPr>
        <w:t xml:space="preserve">none of their five </w:t>
      </w:r>
      <w:r w:rsidR="00604018" w:rsidRPr="00274DCE">
        <w:rPr>
          <w:sz w:val="22"/>
          <w:szCs w:val="22"/>
        </w:rPr>
        <w:t>patents</w:t>
      </w:r>
      <w:r w:rsidR="00A23944">
        <w:rPr>
          <w:sz w:val="22"/>
          <w:szCs w:val="22"/>
        </w:rPr>
        <w:t>:</w:t>
      </w:r>
    </w:p>
    <w:p w14:paraId="5FAAA848" w14:textId="39ACE308" w:rsidR="00A23944" w:rsidRDefault="00A23944" w:rsidP="00A23944">
      <w:pPr>
        <w:pStyle w:val="List1"/>
        <w:numPr>
          <w:ilvl w:val="0"/>
          <w:numId w:val="0"/>
        </w:numPr>
        <w:ind w:left="567"/>
        <w:rPr>
          <w:rFonts w:ascii="Calibri" w:hAnsi="Calibri"/>
        </w:rPr>
      </w:pPr>
      <w:r w:rsidRPr="00602DF2">
        <w:rPr>
          <w:rFonts w:ascii="Calibri" w:hAnsi="Calibri"/>
        </w:rPr>
        <w:t>CN116148893A</w:t>
      </w:r>
      <w:r>
        <w:rPr>
          <w:rFonts w:ascii="Calibri" w:hAnsi="Calibri"/>
        </w:rPr>
        <w:t xml:space="preserve">, </w:t>
      </w:r>
      <w:r w:rsidRPr="00602DF2">
        <w:rPr>
          <w:rFonts w:ascii="Calibri" w:hAnsi="Calibri"/>
        </w:rPr>
        <w:t>ZL202111590802.9</w:t>
      </w:r>
      <w:r>
        <w:rPr>
          <w:rFonts w:ascii="Calibri" w:hAnsi="Calibri"/>
        </w:rPr>
        <w:t xml:space="preserve">, </w:t>
      </w:r>
      <w:r w:rsidRPr="00602DF2">
        <w:rPr>
          <w:rFonts w:ascii="Calibri" w:hAnsi="Calibri"/>
        </w:rPr>
        <w:t>ZL201910443871.3</w:t>
      </w:r>
      <w:r>
        <w:rPr>
          <w:rFonts w:ascii="Calibri" w:hAnsi="Calibri"/>
        </w:rPr>
        <w:t xml:space="preserve">, </w:t>
      </w:r>
      <w:r w:rsidRPr="00602DF2">
        <w:rPr>
          <w:rFonts w:ascii="Calibri" w:hAnsi="Calibri"/>
        </w:rPr>
        <w:t>CN117098201A</w:t>
      </w:r>
      <w:r>
        <w:rPr>
          <w:rFonts w:ascii="Calibri" w:hAnsi="Calibri"/>
        </w:rPr>
        <w:t xml:space="preserve"> and </w:t>
      </w:r>
      <w:r w:rsidRPr="00602DF2">
        <w:rPr>
          <w:rFonts w:ascii="Calibri" w:hAnsi="Calibri"/>
        </w:rPr>
        <w:t>WO2023109896A1</w:t>
      </w:r>
    </w:p>
    <w:p w14:paraId="0DE760A5" w14:textId="5E1D5384" w:rsidR="00714E8B" w:rsidRDefault="00604018" w:rsidP="005F7167">
      <w:pPr>
        <w:pStyle w:val="Default"/>
        <w:spacing w:afterLines="50" w:after="120"/>
        <w:jc w:val="both"/>
        <w:rPr>
          <w:sz w:val="22"/>
          <w:szCs w:val="22"/>
        </w:rPr>
      </w:pPr>
      <w:r w:rsidRPr="00274DCE">
        <w:rPr>
          <w:sz w:val="22"/>
          <w:szCs w:val="22"/>
        </w:rPr>
        <w:t xml:space="preserve">overlap with IALA's </w:t>
      </w:r>
      <w:r w:rsidR="00EC257E" w:rsidRPr="00274DCE">
        <w:rPr>
          <w:sz w:val="22"/>
          <w:szCs w:val="22"/>
        </w:rPr>
        <w:t>publications</w:t>
      </w:r>
      <w:r w:rsidR="00EC257E">
        <w:rPr>
          <w:sz w:val="22"/>
          <w:szCs w:val="22"/>
        </w:rPr>
        <w:t xml:space="preserve"> and</w:t>
      </w:r>
      <w:r w:rsidR="004C3D13">
        <w:rPr>
          <w:sz w:val="22"/>
          <w:szCs w:val="22"/>
        </w:rPr>
        <w:t xml:space="preserve"> </w:t>
      </w:r>
      <w:r w:rsidRPr="00274DCE">
        <w:rPr>
          <w:sz w:val="22"/>
          <w:szCs w:val="22"/>
        </w:rPr>
        <w:t xml:space="preserve">offered </w:t>
      </w:r>
      <w:bookmarkStart w:id="1" w:name="_Hlk178138784"/>
      <w:r w:rsidRPr="00274DCE">
        <w:rPr>
          <w:sz w:val="22"/>
          <w:szCs w:val="22"/>
        </w:rPr>
        <w:t>to issue a declaration allowing IALA and its members to use the</w:t>
      </w:r>
      <w:r w:rsidR="0002373A">
        <w:rPr>
          <w:sz w:val="22"/>
          <w:szCs w:val="22"/>
        </w:rPr>
        <w:t xml:space="preserve"> five </w:t>
      </w:r>
      <w:r w:rsidRPr="00274DCE">
        <w:rPr>
          <w:sz w:val="22"/>
          <w:szCs w:val="22"/>
        </w:rPr>
        <w:t>patents free of charge</w:t>
      </w:r>
      <w:r w:rsidR="005F7167">
        <w:rPr>
          <w:sz w:val="22"/>
          <w:szCs w:val="22"/>
        </w:rPr>
        <w:t>,</w:t>
      </w:r>
      <w:r w:rsidRPr="00274DCE">
        <w:rPr>
          <w:sz w:val="22"/>
          <w:szCs w:val="22"/>
        </w:rPr>
        <w:t xml:space="preserve"> if needed.</w:t>
      </w:r>
      <w:bookmarkEnd w:id="1"/>
    </w:p>
    <w:p w14:paraId="73EDE78D" w14:textId="1342E6E7" w:rsidR="00A23944" w:rsidRDefault="00A23944" w:rsidP="005F7167">
      <w:pPr>
        <w:pStyle w:val="Default"/>
        <w:spacing w:afterLines="50" w:after="120"/>
        <w:jc w:val="both"/>
        <w:rPr>
          <w:sz w:val="22"/>
          <w:szCs w:val="22"/>
        </w:rPr>
      </w:pPr>
      <w:r>
        <w:rPr>
          <w:sz w:val="22"/>
          <w:szCs w:val="22"/>
        </w:rPr>
        <w:t xml:space="preserve">A </w:t>
      </w:r>
      <w:r w:rsidR="0002373A">
        <w:rPr>
          <w:sz w:val="22"/>
          <w:szCs w:val="22"/>
        </w:rPr>
        <w:t>list of the five patents</w:t>
      </w:r>
      <w:r>
        <w:rPr>
          <w:sz w:val="22"/>
          <w:szCs w:val="22"/>
        </w:rPr>
        <w:t xml:space="preserve"> can be found in Appendix A.</w:t>
      </w:r>
    </w:p>
    <w:p w14:paraId="3AF8EE0B" w14:textId="0A4DC19A" w:rsidR="0002373A" w:rsidRDefault="0002373A" w:rsidP="0002373A">
      <w:pPr>
        <w:pStyle w:val="Default"/>
        <w:spacing w:afterLines="50" w:after="120"/>
        <w:jc w:val="both"/>
      </w:pPr>
      <w:r w:rsidRPr="0002373A">
        <w:rPr>
          <w:sz w:val="22"/>
          <w:szCs w:val="22"/>
        </w:rPr>
        <w:t>Further, considering that VDES is about to usher in a large-scale promotion and application, in order to protect the collective rights and interests of VDES practitioners, C</w:t>
      </w:r>
      <w:r>
        <w:rPr>
          <w:sz w:val="22"/>
          <w:szCs w:val="22"/>
        </w:rPr>
        <w:t>hina MSA</w:t>
      </w:r>
      <w:r w:rsidRPr="0002373A">
        <w:rPr>
          <w:sz w:val="22"/>
          <w:szCs w:val="22"/>
        </w:rPr>
        <w:t xml:space="preserve"> would like to take this opportunity to set an example together with the member countries and call upon all IALA members to understand the IALA Patent Policy in detail, and to react in a timely manner by giving positive solutions to the possible IPR issues (not limited to VDES).</w:t>
      </w:r>
    </w:p>
    <w:p w14:paraId="00736313" w14:textId="42088A63" w:rsidR="00714E8B" w:rsidRPr="007A395D" w:rsidRDefault="000C5EF2" w:rsidP="00714E8B">
      <w:pPr>
        <w:pStyle w:val="1"/>
        <w:numPr>
          <w:ilvl w:val="0"/>
          <w:numId w:val="0"/>
        </w:numPr>
      </w:pPr>
      <w:r>
        <w:t>4</w:t>
      </w:r>
      <w:r w:rsidR="00714E8B">
        <w:tab/>
      </w:r>
      <w:r w:rsidR="00714E8B" w:rsidRPr="007A395D">
        <w:t>Action requested of the Committee</w:t>
      </w:r>
    </w:p>
    <w:p w14:paraId="65AC8E2A" w14:textId="34AD6E82" w:rsidR="00714E8B" w:rsidRPr="007A395D" w:rsidRDefault="00714E8B" w:rsidP="00D43998">
      <w:pPr>
        <w:pStyle w:val="a1"/>
      </w:pPr>
      <w:r w:rsidRPr="007A395D">
        <w:t>The Committee is requested to</w:t>
      </w:r>
    </w:p>
    <w:p w14:paraId="3EE5FB94" w14:textId="6EDD7F87" w:rsidR="00A23944" w:rsidRDefault="005F7167" w:rsidP="00E0650A">
      <w:pPr>
        <w:pStyle w:val="List1"/>
        <w:numPr>
          <w:ilvl w:val="0"/>
          <w:numId w:val="39"/>
        </w:numPr>
        <w:rPr>
          <w:rFonts w:ascii="Calibri" w:hAnsi="Calibri"/>
        </w:rPr>
      </w:pPr>
      <w:r w:rsidRPr="00A23944">
        <w:rPr>
          <w:rFonts w:ascii="Calibri" w:hAnsi="Calibri"/>
        </w:rPr>
        <w:t>Note the clarification pr</w:t>
      </w:r>
      <w:r w:rsidR="00602DF2" w:rsidRPr="00A23944">
        <w:rPr>
          <w:rFonts w:ascii="Calibri" w:hAnsi="Calibri"/>
        </w:rPr>
        <w:t xml:space="preserve">ovided by the Maritime Intelligent Communication and Navigation Technology </w:t>
      </w:r>
      <w:r w:rsidR="00F65B5D">
        <w:rPr>
          <w:rFonts w:ascii="Calibri" w:hAnsi="Calibri"/>
        </w:rPr>
        <w:t>r</w:t>
      </w:r>
      <w:r w:rsidR="00602DF2" w:rsidRPr="00A23944">
        <w:rPr>
          <w:rFonts w:ascii="Calibri" w:hAnsi="Calibri"/>
        </w:rPr>
        <w:t xml:space="preserve">esearch </w:t>
      </w:r>
      <w:r w:rsidR="00F65B5D">
        <w:rPr>
          <w:rFonts w:ascii="Calibri" w:hAnsi="Calibri"/>
        </w:rPr>
        <w:t>t</w:t>
      </w:r>
      <w:r w:rsidR="00602DF2" w:rsidRPr="00A23944">
        <w:rPr>
          <w:rFonts w:ascii="Calibri" w:hAnsi="Calibri"/>
        </w:rPr>
        <w:t>eam at Dalian Maritime University</w:t>
      </w:r>
      <w:r w:rsidR="004C3D13">
        <w:rPr>
          <w:rFonts w:ascii="Calibri" w:hAnsi="Calibri"/>
        </w:rPr>
        <w:t>,</w:t>
      </w:r>
      <w:r w:rsidR="00602DF2" w:rsidRPr="00A23944">
        <w:rPr>
          <w:rFonts w:ascii="Calibri" w:hAnsi="Calibri"/>
        </w:rPr>
        <w:t xml:space="preserve"> stating that</w:t>
      </w:r>
      <w:r w:rsidR="00A23944" w:rsidRPr="00A23944">
        <w:rPr>
          <w:rFonts w:ascii="Calibri" w:hAnsi="Calibri"/>
        </w:rPr>
        <w:t xml:space="preserve"> </w:t>
      </w:r>
      <w:r w:rsidR="00602DF2" w:rsidRPr="00A23944">
        <w:rPr>
          <w:rFonts w:ascii="Calibri" w:hAnsi="Calibri"/>
        </w:rPr>
        <w:t>there is no over</w:t>
      </w:r>
      <w:r w:rsidR="00A23944" w:rsidRPr="00A23944">
        <w:rPr>
          <w:rFonts w:ascii="Calibri" w:hAnsi="Calibri"/>
        </w:rPr>
        <w:t>l</w:t>
      </w:r>
      <w:r w:rsidR="00602DF2" w:rsidRPr="00A23944">
        <w:rPr>
          <w:rFonts w:ascii="Calibri" w:hAnsi="Calibri"/>
        </w:rPr>
        <w:t xml:space="preserve">ap between </w:t>
      </w:r>
      <w:r w:rsidR="00A23944" w:rsidRPr="00A23944">
        <w:rPr>
          <w:rFonts w:ascii="Calibri" w:hAnsi="Calibri"/>
        </w:rPr>
        <w:t xml:space="preserve">their five </w:t>
      </w:r>
      <w:r w:rsidR="00602DF2" w:rsidRPr="00A23944">
        <w:rPr>
          <w:rFonts w:ascii="Calibri" w:hAnsi="Calibri"/>
        </w:rPr>
        <w:t>patents</w:t>
      </w:r>
      <w:r w:rsidR="00A23944" w:rsidRPr="00A23944">
        <w:rPr>
          <w:rFonts w:ascii="Calibri" w:hAnsi="Calibri"/>
        </w:rPr>
        <w:t xml:space="preserve"> and IALA publications, and that the team is willing to </w:t>
      </w:r>
      <w:r w:rsidR="00602DF2" w:rsidRPr="00A23944">
        <w:rPr>
          <w:rFonts w:ascii="Calibri" w:hAnsi="Calibri"/>
        </w:rPr>
        <w:t>issue a declaration allowing IALA and its members to use their patents free of charge, if needed.</w:t>
      </w:r>
    </w:p>
    <w:p w14:paraId="45A2A439" w14:textId="0B82FD92" w:rsidR="0002373A" w:rsidRDefault="00C60258" w:rsidP="00D43998">
      <w:pPr>
        <w:pStyle w:val="List1"/>
        <w:numPr>
          <w:ilvl w:val="0"/>
          <w:numId w:val="39"/>
        </w:numPr>
        <w:rPr>
          <w:rFonts w:ascii="Calibri" w:hAnsi="Calibri"/>
        </w:rPr>
      </w:pPr>
      <w:r>
        <w:rPr>
          <w:rFonts w:ascii="Calibri" w:hAnsi="Calibri"/>
        </w:rPr>
        <w:t>Continue identifying potentially patentable or already patented subject matters and act in accordance with the IALA</w:t>
      </w:r>
      <w:r w:rsidRPr="00FE0A2B">
        <w:rPr>
          <w:rFonts w:ascii="Calibri" w:hAnsi="Calibri"/>
        </w:rPr>
        <w:t xml:space="preserve"> Patent Policy and associated procedures</w:t>
      </w:r>
      <w:r>
        <w:rPr>
          <w:rFonts w:ascii="Calibri" w:hAnsi="Calibri"/>
        </w:rPr>
        <w:t>.</w:t>
      </w:r>
    </w:p>
    <w:p w14:paraId="3B467BDE" w14:textId="29A81D33" w:rsidR="0002373A" w:rsidRDefault="0002373A" w:rsidP="00D43998">
      <w:pPr>
        <w:pStyle w:val="List1"/>
        <w:numPr>
          <w:ilvl w:val="0"/>
          <w:numId w:val="39"/>
        </w:numPr>
        <w:rPr>
          <w:rFonts w:ascii="Calibri" w:hAnsi="Calibri"/>
        </w:rPr>
      </w:pPr>
      <w:r>
        <w:rPr>
          <w:rFonts w:ascii="Calibri" w:hAnsi="Calibri"/>
        </w:rPr>
        <w:t>It is recommended that a</w:t>
      </w:r>
      <w:r w:rsidRPr="0002373A">
        <w:rPr>
          <w:rFonts w:ascii="Calibri" w:hAnsi="Calibri"/>
        </w:rPr>
        <w:t>n initiative</w:t>
      </w:r>
      <w:r>
        <w:rPr>
          <w:rFonts w:ascii="Calibri" w:hAnsi="Calibri"/>
        </w:rPr>
        <w:t xml:space="preserve"> be put forward</w:t>
      </w:r>
      <w:r w:rsidRPr="0002373A">
        <w:rPr>
          <w:rFonts w:ascii="Calibri" w:hAnsi="Calibri"/>
        </w:rPr>
        <w:t xml:space="preserve"> in the DTEC-3 report to call </w:t>
      </w:r>
      <w:r>
        <w:rPr>
          <w:rFonts w:ascii="Calibri" w:hAnsi="Calibri"/>
        </w:rPr>
        <w:t>upon</w:t>
      </w:r>
      <w:r w:rsidRPr="0002373A">
        <w:rPr>
          <w:rFonts w:ascii="Calibri" w:hAnsi="Calibri"/>
        </w:rPr>
        <w:t xml:space="preserve"> all IALA members to </w:t>
      </w:r>
      <w:r>
        <w:rPr>
          <w:rFonts w:ascii="Calibri" w:hAnsi="Calibri"/>
        </w:rPr>
        <w:t xml:space="preserve">have a detailed </w:t>
      </w:r>
      <w:r w:rsidRPr="0002373A">
        <w:rPr>
          <w:rFonts w:ascii="Calibri" w:hAnsi="Calibri"/>
        </w:rPr>
        <w:t>understand</w:t>
      </w:r>
      <w:r>
        <w:rPr>
          <w:rFonts w:ascii="Calibri" w:hAnsi="Calibri"/>
        </w:rPr>
        <w:t>ing of</w:t>
      </w:r>
      <w:r w:rsidRPr="0002373A">
        <w:rPr>
          <w:rFonts w:ascii="Calibri" w:hAnsi="Calibri"/>
        </w:rPr>
        <w:t xml:space="preserve"> the IALA patent policy and to react in a timely manner to give positive solutions to possible IPR issues.</w:t>
      </w:r>
    </w:p>
    <w:p w14:paraId="2AE00EE9" w14:textId="6408EE16" w:rsidR="00C60258" w:rsidRPr="00D43998" w:rsidRDefault="00C60258" w:rsidP="0002373A">
      <w:pPr>
        <w:pStyle w:val="List1"/>
        <w:numPr>
          <w:ilvl w:val="0"/>
          <w:numId w:val="0"/>
        </w:numPr>
        <w:ind w:left="567" w:hanging="567"/>
        <w:rPr>
          <w:rFonts w:ascii="Calibri" w:hAnsi="Calibri"/>
        </w:rPr>
      </w:pPr>
      <w:r w:rsidRPr="00D43998">
        <w:rPr>
          <w:lang w:val="en-US"/>
        </w:rPr>
        <w:br w:type="page"/>
      </w:r>
    </w:p>
    <w:p w14:paraId="6D448281" w14:textId="460202D4" w:rsidR="00334D5E" w:rsidRPr="000C5EF2" w:rsidRDefault="007E2484" w:rsidP="000C5EF2">
      <w:pPr>
        <w:pStyle w:val="1"/>
        <w:numPr>
          <w:ilvl w:val="0"/>
          <w:numId w:val="0"/>
        </w:numPr>
        <w:jc w:val="center"/>
      </w:pPr>
      <w:r w:rsidRPr="007E2484">
        <w:rPr>
          <w:lang w:val="en-US"/>
        </w:rPr>
        <w:lastRenderedPageBreak/>
        <w:t>Appendix</w:t>
      </w:r>
      <w:r>
        <w:t xml:space="preserve"> A</w:t>
      </w:r>
      <w:bookmarkStart w:id="2" w:name="_MailOriginal"/>
    </w:p>
    <w:p w14:paraId="784F7450" w14:textId="77777777" w:rsidR="00334D5E" w:rsidRPr="00334D5E" w:rsidRDefault="00334D5E" w:rsidP="00334D5E">
      <w:pPr>
        <w:rPr>
          <w:rFonts w:ascii="Calibri" w:hAnsi="Calibri"/>
          <w:snapToGrid w:val="0"/>
          <w:kern w:val="28"/>
          <w:lang w:eastAsia="ja-JP"/>
        </w:rPr>
      </w:pPr>
      <w:r w:rsidRPr="00334D5E">
        <w:rPr>
          <w:rFonts w:ascii="Calibri" w:hAnsi="Calibri"/>
          <w:b/>
          <w:bCs/>
          <w:snapToGrid w:val="0"/>
          <w:kern w:val="28"/>
          <w:lang w:eastAsia="ja-JP"/>
        </w:rPr>
        <w:t>                                                            Annex I</w:t>
      </w:r>
      <w:r w:rsidRPr="00334D5E">
        <w:rPr>
          <w:rFonts w:ascii="Calibri" w:hAnsi="Calibri"/>
          <w:snapToGrid w:val="0"/>
          <w:kern w:val="28"/>
          <w:lang w:eastAsia="ja-JP"/>
        </w:rPr>
        <w:t xml:space="preserve"> </w:t>
      </w:r>
    </w:p>
    <w:p w14:paraId="1B2E1F2B" w14:textId="77777777" w:rsidR="00334D5E" w:rsidRPr="00334D5E" w:rsidRDefault="00334D5E" w:rsidP="00334D5E">
      <w:pPr>
        <w:rPr>
          <w:rFonts w:ascii="Calibri" w:hAnsi="Calibri"/>
          <w:snapToGrid w:val="0"/>
          <w:kern w:val="28"/>
          <w:lang w:eastAsia="ja-JP"/>
        </w:rPr>
      </w:pPr>
    </w:p>
    <w:p w14:paraId="536E8312" w14:textId="77777777" w:rsidR="00334D5E" w:rsidRPr="00334D5E" w:rsidRDefault="00334D5E" w:rsidP="00334D5E">
      <w:pPr>
        <w:rPr>
          <w:rFonts w:ascii="Calibri" w:hAnsi="Calibri"/>
          <w:snapToGrid w:val="0"/>
          <w:kern w:val="28"/>
          <w:lang w:eastAsia="ja-JP"/>
        </w:rPr>
      </w:pPr>
    </w:p>
    <w:tbl>
      <w:tblPr>
        <w:tblW w:w="11044" w:type="dxa"/>
        <w:jc w:val="center"/>
        <w:tblCellMar>
          <w:left w:w="0" w:type="dxa"/>
          <w:right w:w="0" w:type="dxa"/>
        </w:tblCellMar>
        <w:tblLook w:val="04A0" w:firstRow="1" w:lastRow="0" w:firstColumn="1" w:lastColumn="0" w:noHBand="0" w:noVBand="1"/>
      </w:tblPr>
      <w:tblGrid>
        <w:gridCol w:w="721"/>
        <w:gridCol w:w="1756"/>
        <w:gridCol w:w="728"/>
        <w:gridCol w:w="1412"/>
        <w:gridCol w:w="1909"/>
        <w:gridCol w:w="1320"/>
        <w:gridCol w:w="1103"/>
        <w:gridCol w:w="2095"/>
      </w:tblGrid>
      <w:tr w:rsidR="007E2484" w:rsidRPr="00334D5E" w14:paraId="02C08C09" w14:textId="77777777" w:rsidTr="007E2484">
        <w:trPr>
          <w:jc w:val="center"/>
        </w:trPr>
        <w:tc>
          <w:tcPr>
            <w:tcW w:w="721" w:type="dxa"/>
            <w:tcBorders>
              <w:top w:val="single" w:sz="8" w:space="0" w:color="auto"/>
              <w:left w:val="single" w:sz="8" w:space="0" w:color="auto"/>
              <w:bottom w:val="single" w:sz="8" w:space="0" w:color="auto"/>
              <w:right w:val="single" w:sz="8" w:space="0" w:color="auto"/>
            </w:tcBorders>
            <w:vAlign w:val="center"/>
            <w:hideMark/>
          </w:tcPr>
          <w:p w14:paraId="51A72A32" w14:textId="77777777" w:rsidR="00334D5E" w:rsidRPr="00334D5E" w:rsidRDefault="00334D5E" w:rsidP="00334D5E">
            <w:pPr>
              <w:rPr>
                <w:rFonts w:ascii="Calibri" w:hAnsi="Calibri"/>
                <w:snapToGrid w:val="0"/>
                <w:kern w:val="28"/>
                <w:sz w:val="18"/>
                <w:szCs w:val="18"/>
                <w:lang w:eastAsia="ja-JP"/>
              </w:rPr>
            </w:pPr>
          </w:p>
        </w:tc>
        <w:tc>
          <w:tcPr>
            <w:tcW w:w="1859" w:type="dxa"/>
            <w:tcBorders>
              <w:top w:val="single" w:sz="8" w:space="0" w:color="auto"/>
              <w:left w:val="nil"/>
              <w:bottom w:val="single" w:sz="8" w:space="0" w:color="auto"/>
              <w:right w:val="single" w:sz="8" w:space="0" w:color="auto"/>
            </w:tcBorders>
            <w:vAlign w:val="center"/>
            <w:hideMark/>
          </w:tcPr>
          <w:p w14:paraId="150AA625" w14:textId="1A75F5B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Name</w:t>
            </w:r>
          </w:p>
        </w:tc>
        <w:tc>
          <w:tcPr>
            <w:tcW w:w="750" w:type="dxa"/>
            <w:tcBorders>
              <w:top w:val="single" w:sz="8" w:space="0" w:color="auto"/>
              <w:left w:val="nil"/>
              <w:bottom w:val="single" w:sz="8" w:space="0" w:color="auto"/>
              <w:right w:val="single" w:sz="8" w:space="0" w:color="auto"/>
            </w:tcBorders>
            <w:vAlign w:val="center"/>
            <w:hideMark/>
          </w:tcPr>
          <w:p w14:paraId="54949515"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Country </w:t>
            </w:r>
          </w:p>
        </w:tc>
        <w:tc>
          <w:tcPr>
            <w:tcW w:w="1412" w:type="dxa"/>
            <w:tcBorders>
              <w:top w:val="single" w:sz="8" w:space="0" w:color="auto"/>
              <w:left w:val="nil"/>
              <w:bottom w:val="single" w:sz="8" w:space="0" w:color="auto"/>
              <w:right w:val="single" w:sz="8" w:space="0" w:color="auto"/>
            </w:tcBorders>
            <w:vAlign w:val="center"/>
            <w:hideMark/>
          </w:tcPr>
          <w:p w14:paraId="632836F2"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Patent number </w:t>
            </w:r>
          </w:p>
        </w:tc>
        <w:tc>
          <w:tcPr>
            <w:tcW w:w="1485" w:type="dxa"/>
            <w:tcBorders>
              <w:top w:val="single" w:sz="8" w:space="0" w:color="auto"/>
              <w:left w:val="nil"/>
              <w:bottom w:val="single" w:sz="8" w:space="0" w:color="auto"/>
              <w:right w:val="single" w:sz="8" w:space="0" w:color="auto"/>
            </w:tcBorders>
            <w:vAlign w:val="center"/>
            <w:hideMark/>
          </w:tcPr>
          <w:p w14:paraId="18D0C678" w14:textId="75F40805"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Date of Authorization/Publication</w:t>
            </w:r>
          </w:p>
        </w:tc>
        <w:tc>
          <w:tcPr>
            <w:tcW w:w="1418" w:type="dxa"/>
            <w:tcBorders>
              <w:top w:val="single" w:sz="8" w:space="0" w:color="auto"/>
              <w:left w:val="nil"/>
              <w:bottom w:val="single" w:sz="8" w:space="0" w:color="auto"/>
              <w:right w:val="single" w:sz="8" w:space="0" w:color="auto"/>
            </w:tcBorders>
            <w:vAlign w:val="center"/>
            <w:hideMark/>
          </w:tcPr>
          <w:p w14:paraId="1C5ABA4B" w14:textId="20530285" w:rsidR="00334D5E" w:rsidRPr="00334D5E" w:rsidRDefault="00334D5E" w:rsidP="007E2484">
            <w:pPr>
              <w:rPr>
                <w:rFonts w:ascii="Calibri" w:hAnsi="Calibri"/>
                <w:b/>
                <w:bCs/>
                <w:snapToGrid w:val="0"/>
                <w:kern w:val="28"/>
                <w:sz w:val="18"/>
                <w:szCs w:val="18"/>
                <w:lang w:eastAsia="ja-JP"/>
              </w:rPr>
            </w:pPr>
            <w:r w:rsidRPr="00334D5E">
              <w:rPr>
                <w:rFonts w:ascii="Calibri" w:hAnsi="Calibri"/>
                <w:snapToGrid w:val="0"/>
                <w:kern w:val="28"/>
                <w:sz w:val="18"/>
                <w:szCs w:val="18"/>
                <w:lang w:eastAsia="ja-JP"/>
              </w:rPr>
              <w:t>Inventors</w:t>
            </w:r>
          </w:p>
        </w:tc>
        <w:tc>
          <w:tcPr>
            <w:tcW w:w="1134" w:type="dxa"/>
            <w:tcBorders>
              <w:top w:val="single" w:sz="8" w:space="0" w:color="auto"/>
              <w:left w:val="nil"/>
              <w:bottom w:val="single" w:sz="8" w:space="0" w:color="auto"/>
              <w:right w:val="single" w:sz="8" w:space="0" w:color="auto"/>
            </w:tcBorders>
            <w:vAlign w:val="center"/>
            <w:hideMark/>
          </w:tcPr>
          <w:p w14:paraId="5FA99AC6" w14:textId="18BCDC10"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Patent Status</w:t>
            </w:r>
          </w:p>
        </w:tc>
        <w:tc>
          <w:tcPr>
            <w:tcW w:w="2265" w:type="dxa"/>
            <w:tcBorders>
              <w:top w:val="single" w:sz="8" w:space="0" w:color="auto"/>
              <w:left w:val="nil"/>
              <w:bottom w:val="single" w:sz="8" w:space="0" w:color="auto"/>
              <w:right w:val="single" w:sz="8" w:space="0" w:color="auto"/>
            </w:tcBorders>
            <w:shd w:val="clear" w:color="auto" w:fill="FFFFFF"/>
            <w:vAlign w:val="center"/>
            <w:hideMark/>
          </w:tcPr>
          <w:p w14:paraId="08A37B5E" w14:textId="3A603ACF"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Remarks</w:t>
            </w:r>
          </w:p>
        </w:tc>
      </w:tr>
      <w:tr w:rsidR="007E2484" w:rsidRPr="00334D5E" w14:paraId="75E04917" w14:textId="77777777" w:rsidTr="007E2484">
        <w:trPr>
          <w:jc w:val="center"/>
        </w:trPr>
        <w:tc>
          <w:tcPr>
            <w:tcW w:w="721" w:type="dxa"/>
            <w:tcBorders>
              <w:top w:val="nil"/>
              <w:left w:val="single" w:sz="8" w:space="0" w:color="auto"/>
              <w:bottom w:val="single" w:sz="8" w:space="0" w:color="auto"/>
              <w:right w:val="single" w:sz="8" w:space="0" w:color="auto"/>
            </w:tcBorders>
            <w:vAlign w:val="center"/>
            <w:hideMark/>
          </w:tcPr>
          <w:p w14:paraId="2FC8E24E" w14:textId="77777777" w:rsidR="00334D5E" w:rsidRPr="00334D5E" w:rsidRDefault="00334D5E" w:rsidP="00334D5E">
            <w:pPr>
              <w:ind w:left="360"/>
              <w:rPr>
                <w:rFonts w:ascii="Calibri" w:hAnsi="Calibri"/>
                <w:snapToGrid w:val="0"/>
                <w:kern w:val="28"/>
                <w:sz w:val="18"/>
                <w:szCs w:val="18"/>
                <w:lang w:eastAsia="ja-JP"/>
              </w:rPr>
            </w:pPr>
            <w:bookmarkStart w:id="3" w:name="_Hlk178138869"/>
            <w:r w:rsidRPr="00334D5E">
              <w:rPr>
                <w:rFonts w:ascii="Calibri" w:hAnsi="Calibri" w:hint="eastAsia"/>
                <w:snapToGrid w:val="0"/>
                <w:kern w:val="28"/>
                <w:sz w:val="18"/>
                <w:szCs w:val="18"/>
                <w:lang w:eastAsia="ja-JP"/>
              </w:rPr>
              <w:t xml:space="preserve">1.      </w:t>
            </w:r>
          </w:p>
        </w:tc>
        <w:tc>
          <w:tcPr>
            <w:tcW w:w="1859" w:type="dxa"/>
            <w:tcBorders>
              <w:top w:val="nil"/>
              <w:left w:val="nil"/>
              <w:bottom w:val="single" w:sz="8" w:space="0" w:color="auto"/>
              <w:right w:val="single" w:sz="8" w:space="0" w:color="auto"/>
            </w:tcBorders>
            <w:vAlign w:val="center"/>
            <w:hideMark/>
          </w:tcPr>
          <w:p w14:paraId="489E842F"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Ranging Method and System Based on Real-time Bit Edge Detection and Suitable for VDES R-mode </w:t>
            </w:r>
          </w:p>
        </w:tc>
        <w:tc>
          <w:tcPr>
            <w:tcW w:w="750" w:type="dxa"/>
            <w:tcBorders>
              <w:top w:val="nil"/>
              <w:left w:val="nil"/>
              <w:bottom w:val="single" w:sz="8" w:space="0" w:color="auto"/>
              <w:right w:val="single" w:sz="8" w:space="0" w:color="auto"/>
            </w:tcBorders>
            <w:vAlign w:val="center"/>
            <w:hideMark/>
          </w:tcPr>
          <w:p w14:paraId="0441D240" w14:textId="2DE48E8B"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China</w:t>
            </w:r>
          </w:p>
        </w:tc>
        <w:tc>
          <w:tcPr>
            <w:tcW w:w="1412" w:type="dxa"/>
            <w:tcBorders>
              <w:top w:val="nil"/>
              <w:left w:val="nil"/>
              <w:bottom w:val="single" w:sz="8" w:space="0" w:color="auto"/>
              <w:right w:val="single" w:sz="8" w:space="0" w:color="auto"/>
            </w:tcBorders>
            <w:vAlign w:val="center"/>
            <w:hideMark/>
          </w:tcPr>
          <w:p w14:paraId="6C2B8630"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CN116148893A </w:t>
            </w:r>
          </w:p>
        </w:tc>
        <w:tc>
          <w:tcPr>
            <w:tcW w:w="1485" w:type="dxa"/>
            <w:tcBorders>
              <w:top w:val="nil"/>
              <w:left w:val="nil"/>
              <w:bottom w:val="single" w:sz="8" w:space="0" w:color="auto"/>
              <w:right w:val="single" w:sz="8" w:space="0" w:color="auto"/>
            </w:tcBorders>
            <w:vAlign w:val="center"/>
            <w:hideMark/>
          </w:tcPr>
          <w:p w14:paraId="5CC7CE54"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2023.05.23 </w:t>
            </w:r>
          </w:p>
        </w:tc>
        <w:tc>
          <w:tcPr>
            <w:tcW w:w="1418" w:type="dxa"/>
            <w:tcBorders>
              <w:top w:val="nil"/>
              <w:left w:val="nil"/>
              <w:bottom w:val="single" w:sz="8" w:space="0" w:color="auto"/>
              <w:right w:val="single" w:sz="8" w:space="0" w:color="auto"/>
            </w:tcBorders>
            <w:vAlign w:val="center"/>
            <w:hideMark/>
          </w:tcPr>
          <w:p w14:paraId="7843661F"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Shuaiheng Huai, Tianrui Liu, Qing Hu, Yi Jiang </w:t>
            </w:r>
          </w:p>
        </w:tc>
        <w:tc>
          <w:tcPr>
            <w:tcW w:w="1134" w:type="dxa"/>
            <w:tcBorders>
              <w:top w:val="nil"/>
              <w:left w:val="nil"/>
              <w:bottom w:val="single" w:sz="8" w:space="0" w:color="auto"/>
              <w:right w:val="single" w:sz="8" w:space="0" w:color="auto"/>
            </w:tcBorders>
            <w:vAlign w:val="center"/>
            <w:hideMark/>
          </w:tcPr>
          <w:p w14:paraId="4CB1ABE5"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Under examination </w:t>
            </w:r>
          </w:p>
        </w:tc>
        <w:tc>
          <w:tcPr>
            <w:tcW w:w="2265" w:type="dxa"/>
            <w:tcBorders>
              <w:top w:val="nil"/>
              <w:left w:val="nil"/>
              <w:bottom w:val="single" w:sz="8" w:space="0" w:color="auto"/>
              <w:right w:val="single" w:sz="8" w:space="0" w:color="auto"/>
            </w:tcBorders>
            <w:vAlign w:val="center"/>
            <w:hideMark/>
          </w:tcPr>
          <w:p w14:paraId="571C5B1D"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Different from the ranging method adopted in G1158 that uses specific sequences for correlation value calculation. </w:t>
            </w:r>
          </w:p>
        </w:tc>
      </w:tr>
      <w:tr w:rsidR="007E2484" w:rsidRPr="00334D5E" w14:paraId="530E3271" w14:textId="77777777" w:rsidTr="007E2484">
        <w:trPr>
          <w:jc w:val="center"/>
        </w:trPr>
        <w:tc>
          <w:tcPr>
            <w:tcW w:w="721" w:type="dxa"/>
            <w:tcBorders>
              <w:top w:val="nil"/>
              <w:left w:val="single" w:sz="8" w:space="0" w:color="auto"/>
              <w:bottom w:val="single" w:sz="8" w:space="0" w:color="auto"/>
              <w:right w:val="single" w:sz="8" w:space="0" w:color="auto"/>
            </w:tcBorders>
            <w:vAlign w:val="center"/>
            <w:hideMark/>
          </w:tcPr>
          <w:p w14:paraId="3860E43A" w14:textId="77777777" w:rsidR="00334D5E" w:rsidRPr="00334D5E" w:rsidRDefault="00334D5E" w:rsidP="00334D5E">
            <w:pPr>
              <w:ind w:left="360"/>
              <w:rPr>
                <w:rFonts w:ascii="Calibri" w:hAnsi="Calibri"/>
                <w:snapToGrid w:val="0"/>
                <w:kern w:val="28"/>
                <w:sz w:val="18"/>
                <w:szCs w:val="18"/>
                <w:lang w:eastAsia="ja-JP"/>
              </w:rPr>
            </w:pPr>
            <w:r w:rsidRPr="00334D5E">
              <w:rPr>
                <w:rFonts w:ascii="Calibri" w:hAnsi="Calibri" w:hint="eastAsia"/>
                <w:snapToGrid w:val="0"/>
                <w:kern w:val="28"/>
                <w:sz w:val="18"/>
                <w:szCs w:val="18"/>
                <w:lang w:eastAsia="ja-JP"/>
              </w:rPr>
              <w:t xml:space="preserve">2.      </w:t>
            </w:r>
          </w:p>
        </w:tc>
        <w:tc>
          <w:tcPr>
            <w:tcW w:w="1859" w:type="dxa"/>
            <w:tcBorders>
              <w:top w:val="nil"/>
              <w:left w:val="nil"/>
              <w:bottom w:val="single" w:sz="8" w:space="0" w:color="auto"/>
              <w:right w:val="single" w:sz="8" w:space="0" w:color="auto"/>
            </w:tcBorders>
            <w:vAlign w:val="center"/>
            <w:hideMark/>
          </w:tcPr>
          <w:p w14:paraId="78205C0F"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Multi-mode communication method for shipboard terminals integrating VDES, Beidou 3, and 4G/5G networks </w:t>
            </w:r>
          </w:p>
        </w:tc>
        <w:tc>
          <w:tcPr>
            <w:tcW w:w="750" w:type="dxa"/>
            <w:tcBorders>
              <w:top w:val="nil"/>
              <w:left w:val="nil"/>
              <w:bottom w:val="single" w:sz="8" w:space="0" w:color="auto"/>
              <w:right w:val="single" w:sz="8" w:space="0" w:color="auto"/>
            </w:tcBorders>
            <w:vAlign w:val="center"/>
            <w:hideMark/>
          </w:tcPr>
          <w:p w14:paraId="0C78A73C" w14:textId="343D4589"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China</w:t>
            </w:r>
          </w:p>
        </w:tc>
        <w:tc>
          <w:tcPr>
            <w:tcW w:w="1412" w:type="dxa"/>
            <w:tcBorders>
              <w:top w:val="nil"/>
              <w:left w:val="nil"/>
              <w:bottom w:val="single" w:sz="8" w:space="0" w:color="auto"/>
              <w:right w:val="single" w:sz="8" w:space="0" w:color="auto"/>
            </w:tcBorders>
            <w:vAlign w:val="center"/>
            <w:hideMark/>
          </w:tcPr>
          <w:p w14:paraId="0BB45EF9"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ZL202111590802.9 </w:t>
            </w:r>
          </w:p>
        </w:tc>
        <w:tc>
          <w:tcPr>
            <w:tcW w:w="1485" w:type="dxa"/>
            <w:tcBorders>
              <w:top w:val="nil"/>
              <w:left w:val="nil"/>
              <w:bottom w:val="single" w:sz="8" w:space="0" w:color="auto"/>
              <w:right w:val="single" w:sz="8" w:space="0" w:color="auto"/>
            </w:tcBorders>
            <w:vAlign w:val="center"/>
            <w:hideMark/>
          </w:tcPr>
          <w:p w14:paraId="21AC3673"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2023.07.25 </w:t>
            </w:r>
          </w:p>
        </w:tc>
        <w:tc>
          <w:tcPr>
            <w:tcW w:w="1418" w:type="dxa"/>
            <w:tcBorders>
              <w:top w:val="nil"/>
              <w:left w:val="nil"/>
              <w:bottom w:val="single" w:sz="8" w:space="0" w:color="auto"/>
              <w:right w:val="single" w:sz="8" w:space="0" w:color="auto"/>
            </w:tcBorders>
            <w:vAlign w:val="center"/>
            <w:hideMark/>
          </w:tcPr>
          <w:p w14:paraId="66B191E6"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Qing Hu, Yi Jiang, Guowei Yao </w:t>
            </w:r>
          </w:p>
        </w:tc>
        <w:tc>
          <w:tcPr>
            <w:tcW w:w="1134" w:type="dxa"/>
            <w:tcBorders>
              <w:top w:val="nil"/>
              <w:left w:val="nil"/>
              <w:bottom w:val="single" w:sz="8" w:space="0" w:color="auto"/>
              <w:right w:val="single" w:sz="8" w:space="0" w:color="auto"/>
            </w:tcBorders>
            <w:vAlign w:val="center"/>
            <w:hideMark/>
          </w:tcPr>
          <w:p w14:paraId="45370044"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Authorized </w:t>
            </w:r>
          </w:p>
        </w:tc>
        <w:tc>
          <w:tcPr>
            <w:tcW w:w="2265" w:type="dxa"/>
            <w:tcBorders>
              <w:top w:val="nil"/>
              <w:left w:val="nil"/>
              <w:bottom w:val="single" w:sz="8" w:space="0" w:color="auto"/>
              <w:right w:val="single" w:sz="8" w:space="0" w:color="auto"/>
            </w:tcBorders>
            <w:vAlign w:val="center"/>
            <w:hideMark/>
          </w:tcPr>
          <w:p w14:paraId="6A121721"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Only VDES and Beidou 3, 4G/5G are equally used as communication means. </w:t>
            </w:r>
          </w:p>
        </w:tc>
      </w:tr>
      <w:tr w:rsidR="007E2484" w:rsidRPr="00334D5E" w14:paraId="6487A69E" w14:textId="77777777" w:rsidTr="007E2484">
        <w:trPr>
          <w:jc w:val="center"/>
        </w:trPr>
        <w:tc>
          <w:tcPr>
            <w:tcW w:w="721" w:type="dxa"/>
            <w:tcBorders>
              <w:top w:val="nil"/>
              <w:left w:val="single" w:sz="8" w:space="0" w:color="auto"/>
              <w:bottom w:val="single" w:sz="8" w:space="0" w:color="auto"/>
              <w:right w:val="single" w:sz="8" w:space="0" w:color="auto"/>
            </w:tcBorders>
            <w:vAlign w:val="center"/>
            <w:hideMark/>
          </w:tcPr>
          <w:p w14:paraId="62B1F0A4" w14:textId="77777777" w:rsidR="00334D5E" w:rsidRPr="00334D5E" w:rsidRDefault="00334D5E" w:rsidP="00334D5E">
            <w:pPr>
              <w:ind w:left="360"/>
              <w:rPr>
                <w:rFonts w:ascii="Calibri" w:hAnsi="Calibri"/>
                <w:snapToGrid w:val="0"/>
                <w:kern w:val="28"/>
                <w:sz w:val="18"/>
                <w:szCs w:val="18"/>
                <w:lang w:eastAsia="ja-JP"/>
              </w:rPr>
            </w:pPr>
            <w:r w:rsidRPr="00334D5E">
              <w:rPr>
                <w:rFonts w:ascii="Calibri" w:hAnsi="Calibri" w:hint="eastAsia"/>
                <w:snapToGrid w:val="0"/>
                <w:kern w:val="28"/>
                <w:sz w:val="18"/>
                <w:szCs w:val="18"/>
                <w:lang w:eastAsia="ja-JP"/>
              </w:rPr>
              <w:t xml:space="preserve">3.      </w:t>
            </w:r>
          </w:p>
        </w:tc>
        <w:tc>
          <w:tcPr>
            <w:tcW w:w="1859" w:type="dxa"/>
            <w:tcBorders>
              <w:top w:val="nil"/>
              <w:left w:val="nil"/>
              <w:bottom w:val="single" w:sz="8" w:space="0" w:color="auto"/>
              <w:right w:val="single" w:sz="8" w:space="0" w:color="auto"/>
            </w:tcBorders>
            <w:vAlign w:val="center"/>
            <w:hideMark/>
          </w:tcPr>
          <w:p w14:paraId="5F69AA61"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An AIS location information anti-spoofing method based on R-mode       </w:t>
            </w:r>
          </w:p>
        </w:tc>
        <w:tc>
          <w:tcPr>
            <w:tcW w:w="750" w:type="dxa"/>
            <w:tcBorders>
              <w:top w:val="nil"/>
              <w:left w:val="nil"/>
              <w:bottom w:val="single" w:sz="8" w:space="0" w:color="auto"/>
              <w:right w:val="single" w:sz="8" w:space="0" w:color="auto"/>
            </w:tcBorders>
            <w:vAlign w:val="center"/>
            <w:hideMark/>
          </w:tcPr>
          <w:p w14:paraId="73BA2D2B" w14:textId="2DA166D9"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China</w:t>
            </w:r>
          </w:p>
        </w:tc>
        <w:tc>
          <w:tcPr>
            <w:tcW w:w="1412" w:type="dxa"/>
            <w:tcBorders>
              <w:top w:val="nil"/>
              <w:left w:val="nil"/>
              <w:bottom w:val="single" w:sz="8" w:space="0" w:color="auto"/>
              <w:right w:val="single" w:sz="8" w:space="0" w:color="auto"/>
            </w:tcBorders>
            <w:vAlign w:val="center"/>
            <w:hideMark/>
          </w:tcPr>
          <w:p w14:paraId="4863B3F8"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ZL201910443871.3 </w:t>
            </w:r>
          </w:p>
        </w:tc>
        <w:tc>
          <w:tcPr>
            <w:tcW w:w="1485" w:type="dxa"/>
            <w:tcBorders>
              <w:top w:val="nil"/>
              <w:left w:val="nil"/>
              <w:bottom w:val="single" w:sz="8" w:space="0" w:color="auto"/>
              <w:right w:val="single" w:sz="8" w:space="0" w:color="auto"/>
            </w:tcBorders>
            <w:vAlign w:val="center"/>
            <w:hideMark/>
          </w:tcPr>
          <w:p w14:paraId="33FC19EB"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2023.04.18 </w:t>
            </w:r>
          </w:p>
        </w:tc>
        <w:tc>
          <w:tcPr>
            <w:tcW w:w="1418" w:type="dxa"/>
            <w:tcBorders>
              <w:top w:val="nil"/>
              <w:left w:val="nil"/>
              <w:bottom w:val="single" w:sz="8" w:space="0" w:color="auto"/>
              <w:right w:val="single" w:sz="8" w:space="0" w:color="auto"/>
            </w:tcBorders>
            <w:vAlign w:val="center"/>
            <w:hideMark/>
          </w:tcPr>
          <w:p w14:paraId="697B2AA1"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Yi Jiang, Kai Zheng, Qing Hu </w:t>
            </w:r>
          </w:p>
        </w:tc>
        <w:tc>
          <w:tcPr>
            <w:tcW w:w="1134" w:type="dxa"/>
            <w:tcBorders>
              <w:top w:val="nil"/>
              <w:left w:val="nil"/>
              <w:bottom w:val="single" w:sz="8" w:space="0" w:color="auto"/>
              <w:right w:val="single" w:sz="8" w:space="0" w:color="auto"/>
            </w:tcBorders>
            <w:vAlign w:val="center"/>
            <w:hideMark/>
          </w:tcPr>
          <w:p w14:paraId="351F4FA9"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Authorized </w:t>
            </w:r>
          </w:p>
        </w:tc>
        <w:tc>
          <w:tcPr>
            <w:tcW w:w="2265" w:type="dxa"/>
            <w:tcBorders>
              <w:top w:val="nil"/>
              <w:left w:val="nil"/>
              <w:bottom w:val="single" w:sz="8" w:space="0" w:color="auto"/>
              <w:right w:val="single" w:sz="8" w:space="0" w:color="auto"/>
            </w:tcBorders>
            <w:vAlign w:val="center"/>
            <w:hideMark/>
          </w:tcPr>
          <w:p w14:paraId="0D3FD2D3"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The patent's method, means and application scenarios for realizing R-mode based on AIS shore station are completely different from IALA's existing VDES R-mode technology. </w:t>
            </w:r>
          </w:p>
        </w:tc>
      </w:tr>
      <w:tr w:rsidR="007E2484" w:rsidRPr="00334D5E" w14:paraId="0C67FB5A" w14:textId="77777777" w:rsidTr="007E2484">
        <w:trPr>
          <w:jc w:val="center"/>
        </w:trPr>
        <w:tc>
          <w:tcPr>
            <w:tcW w:w="721" w:type="dxa"/>
            <w:tcBorders>
              <w:top w:val="nil"/>
              <w:left w:val="single" w:sz="8" w:space="0" w:color="auto"/>
              <w:bottom w:val="single" w:sz="8" w:space="0" w:color="auto"/>
              <w:right w:val="single" w:sz="8" w:space="0" w:color="auto"/>
            </w:tcBorders>
            <w:vAlign w:val="center"/>
            <w:hideMark/>
          </w:tcPr>
          <w:p w14:paraId="430FDD8E" w14:textId="77777777" w:rsidR="00334D5E" w:rsidRPr="00334D5E" w:rsidRDefault="00334D5E" w:rsidP="007E2484">
            <w:pPr>
              <w:ind w:left="360"/>
              <w:rPr>
                <w:rFonts w:ascii="Calibri" w:hAnsi="Calibri"/>
                <w:snapToGrid w:val="0"/>
                <w:kern w:val="28"/>
                <w:sz w:val="18"/>
                <w:szCs w:val="18"/>
                <w:lang w:eastAsia="ja-JP"/>
              </w:rPr>
            </w:pPr>
            <w:r w:rsidRPr="00334D5E">
              <w:rPr>
                <w:rFonts w:ascii="Calibri" w:hAnsi="Calibri" w:hint="eastAsia"/>
                <w:snapToGrid w:val="0"/>
                <w:kern w:val="28"/>
                <w:sz w:val="18"/>
                <w:szCs w:val="18"/>
                <w:lang w:eastAsia="ja-JP"/>
              </w:rPr>
              <w:t xml:space="preserve">4.      </w:t>
            </w:r>
          </w:p>
        </w:tc>
        <w:tc>
          <w:tcPr>
            <w:tcW w:w="1859" w:type="dxa"/>
            <w:tcBorders>
              <w:top w:val="nil"/>
              <w:left w:val="nil"/>
              <w:bottom w:val="single" w:sz="8" w:space="0" w:color="auto"/>
              <w:right w:val="single" w:sz="8" w:space="0" w:color="auto"/>
            </w:tcBorders>
            <w:vAlign w:val="center"/>
            <w:hideMark/>
          </w:tcPr>
          <w:p w14:paraId="52B3687A"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 vertical switching method between VDE-TER and VDE-SAT based on UNIS algorithm </w:t>
            </w:r>
          </w:p>
        </w:tc>
        <w:tc>
          <w:tcPr>
            <w:tcW w:w="750" w:type="dxa"/>
            <w:tcBorders>
              <w:top w:val="nil"/>
              <w:left w:val="nil"/>
              <w:bottom w:val="single" w:sz="8" w:space="0" w:color="auto"/>
              <w:right w:val="single" w:sz="8" w:space="0" w:color="auto"/>
            </w:tcBorders>
            <w:vAlign w:val="center"/>
            <w:hideMark/>
          </w:tcPr>
          <w:p w14:paraId="47BBECA2" w14:textId="23F350A6"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China</w:t>
            </w:r>
          </w:p>
        </w:tc>
        <w:tc>
          <w:tcPr>
            <w:tcW w:w="1412" w:type="dxa"/>
            <w:tcBorders>
              <w:top w:val="nil"/>
              <w:left w:val="nil"/>
              <w:bottom w:val="single" w:sz="8" w:space="0" w:color="auto"/>
              <w:right w:val="single" w:sz="8" w:space="0" w:color="auto"/>
            </w:tcBorders>
            <w:vAlign w:val="center"/>
            <w:hideMark/>
          </w:tcPr>
          <w:p w14:paraId="0F71D44D"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CN117098201A </w:t>
            </w:r>
          </w:p>
        </w:tc>
        <w:tc>
          <w:tcPr>
            <w:tcW w:w="1485" w:type="dxa"/>
            <w:tcBorders>
              <w:top w:val="nil"/>
              <w:left w:val="nil"/>
              <w:bottom w:val="single" w:sz="8" w:space="0" w:color="auto"/>
              <w:right w:val="single" w:sz="8" w:space="0" w:color="auto"/>
            </w:tcBorders>
            <w:vAlign w:val="center"/>
            <w:hideMark/>
          </w:tcPr>
          <w:p w14:paraId="1CEA5276"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2023.11.21 </w:t>
            </w:r>
          </w:p>
        </w:tc>
        <w:tc>
          <w:tcPr>
            <w:tcW w:w="1418" w:type="dxa"/>
            <w:tcBorders>
              <w:top w:val="nil"/>
              <w:left w:val="nil"/>
              <w:bottom w:val="single" w:sz="8" w:space="0" w:color="auto"/>
              <w:right w:val="single" w:sz="8" w:space="0" w:color="auto"/>
            </w:tcBorders>
            <w:vAlign w:val="center"/>
            <w:hideMark/>
          </w:tcPr>
          <w:p w14:paraId="646A2D17"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Yi Jiang, Cong Wang, Qing Hu </w:t>
            </w:r>
          </w:p>
        </w:tc>
        <w:tc>
          <w:tcPr>
            <w:tcW w:w="1134" w:type="dxa"/>
            <w:tcBorders>
              <w:top w:val="nil"/>
              <w:left w:val="nil"/>
              <w:bottom w:val="single" w:sz="8" w:space="0" w:color="auto"/>
              <w:right w:val="single" w:sz="8" w:space="0" w:color="auto"/>
            </w:tcBorders>
            <w:vAlign w:val="center"/>
            <w:hideMark/>
          </w:tcPr>
          <w:p w14:paraId="5850BC59"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Under examination </w:t>
            </w:r>
          </w:p>
        </w:tc>
        <w:tc>
          <w:tcPr>
            <w:tcW w:w="2265" w:type="dxa"/>
            <w:tcBorders>
              <w:top w:val="nil"/>
              <w:left w:val="nil"/>
              <w:bottom w:val="single" w:sz="8" w:space="0" w:color="auto"/>
              <w:right w:val="single" w:sz="8" w:space="0" w:color="auto"/>
            </w:tcBorders>
            <w:vAlign w:val="center"/>
            <w:hideMark/>
          </w:tcPr>
          <w:p w14:paraId="2C5678E0"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The patent is to realize vertical switching between VDE-TER and VDE-SAT using UNIS algorithm to improve the overall throughput of VDE. </w:t>
            </w:r>
          </w:p>
        </w:tc>
      </w:tr>
      <w:tr w:rsidR="007E2484" w:rsidRPr="00334D5E" w14:paraId="1546B09E" w14:textId="77777777" w:rsidTr="007E2484">
        <w:trPr>
          <w:jc w:val="center"/>
        </w:trPr>
        <w:tc>
          <w:tcPr>
            <w:tcW w:w="721" w:type="dxa"/>
            <w:tcBorders>
              <w:top w:val="nil"/>
              <w:left w:val="single" w:sz="8" w:space="0" w:color="auto"/>
              <w:bottom w:val="single" w:sz="8" w:space="0" w:color="auto"/>
              <w:right w:val="single" w:sz="8" w:space="0" w:color="auto"/>
            </w:tcBorders>
            <w:vAlign w:val="center"/>
            <w:hideMark/>
          </w:tcPr>
          <w:p w14:paraId="0C22543C" w14:textId="77777777" w:rsidR="00334D5E" w:rsidRPr="00334D5E" w:rsidRDefault="00334D5E" w:rsidP="007E2484">
            <w:pPr>
              <w:ind w:left="360"/>
              <w:rPr>
                <w:rFonts w:ascii="Calibri" w:hAnsi="Calibri"/>
                <w:snapToGrid w:val="0"/>
                <w:kern w:val="28"/>
                <w:sz w:val="18"/>
                <w:szCs w:val="18"/>
                <w:lang w:eastAsia="ja-JP"/>
              </w:rPr>
            </w:pPr>
            <w:r w:rsidRPr="00334D5E">
              <w:rPr>
                <w:rFonts w:ascii="Calibri" w:hAnsi="Calibri" w:hint="eastAsia"/>
                <w:snapToGrid w:val="0"/>
                <w:kern w:val="28"/>
                <w:sz w:val="18"/>
                <w:szCs w:val="18"/>
                <w:lang w:eastAsia="ja-JP"/>
              </w:rPr>
              <w:t xml:space="preserve">5.      </w:t>
            </w:r>
          </w:p>
        </w:tc>
        <w:tc>
          <w:tcPr>
            <w:tcW w:w="1859" w:type="dxa"/>
            <w:tcBorders>
              <w:top w:val="nil"/>
              <w:left w:val="nil"/>
              <w:bottom w:val="single" w:sz="8" w:space="0" w:color="auto"/>
              <w:right w:val="single" w:sz="8" w:space="0" w:color="auto"/>
            </w:tcBorders>
            <w:vAlign w:val="center"/>
            <w:hideMark/>
          </w:tcPr>
          <w:p w14:paraId="1C063F8A"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An Improved Carrier Frequency Bias Synchronization Method for VDE-TER System </w:t>
            </w:r>
          </w:p>
        </w:tc>
        <w:tc>
          <w:tcPr>
            <w:tcW w:w="750" w:type="dxa"/>
            <w:tcBorders>
              <w:top w:val="nil"/>
              <w:left w:val="nil"/>
              <w:bottom w:val="single" w:sz="8" w:space="0" w:color="auto"/>
              <w:right w:val="single" w:sz="8" w:space="0" w:color="auto"/>
            </w:tcBorders>
            <w:vAlign w:val="center"/>
            <w:hideMark/>
          </w:tcPr>
          <w:p w14:paraId="36C05E63" w14:textId="4869C486"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PCT</w:t>
            </w:r>
          </w:p>
        </w:tc>
        <w:tc>
          <w:tcPr>
            <w:tcW w:w="1412" w:type="dxa"/>
            <w:tcBorders>
              <w:top w:val="nil"/>
              <w:left w:val="nil"/>
              <w:bottom w:val="single" w:sz="8" w:space="0" w:color="auto"/>
              <w:right w:val="single" w:sz="8" w:space="0" w:color="auto"/>
            </w:tcBorders>
            <w:vAlign w:val="center"/>
            <w:hideMark/>
          </w:tcPr>
          <w:p w14:paraId="0CF1B9DC"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WO2023109896A1 </w:t>
            </w:r>
          </w:p>
        </w:tc>
        <w:tc>
          <w:tcPr>
            <w:tcW w:w="1485" w:type="dxa"/>
            <w:tcBorders>
              <w:top w:val="nil"/>
              <w:left w:val="nil"/>
              <w:bottom w:val="single" w:sz="8" w:space="0" w:color="auto"/>
              <w:right w:val="single" w:sz="8" w:space="0" w:color="auto"/>
            </w:tcBorders>
            <w:vAlign w:val="center"/>
            <w:hideMark/>
          </w:tcPr>
          <w:p w14:paraId="3073E1BF"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2023.06.22 </w:t>
            </w:r>
          </w:p>
        </w:tc>
        <w:tc>
          <w:tcPr>
            <w:tcW w:w="1418" w:type="dxa"/>
            <w:tcBorders>
              <w:top w:val="nil"/>
              <w:left w:val="nil"/>
              <w:bottom w:val="single" w:sz="8" w:space="0" w:color="auto"/>
              <w:right w:val="single" w:sz="8" w:space="0" w:color="auto"/>
            </w:tcBorders>
            <w:vAlign w:val="center"/>
            <w:hideMark/>
          </w:tcPr>
          <w:p w14:paraId="68A83866"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Qing Hu, Yuanyuan Hu </w:t>
            </w:r>
          </w:p>
        </w:tc>
        <w:tc>
          <w:tcPr>
            <w:tcW w:w="1134" w:type="dxa"/>
            <w:tcBorders>
              <w:top w:val="nil"/>
              <w:left w:val="nil"/>
              <w:bottom w:val="single" w:sz="8" w:space="0" w:color="auto"/>
              <w:right w:val="single" w:sz="8" w:space="0" w:color="auto"/>
            </w:tcBorders>
            <w:vAlign w:val="center"/>
            <w:hideMark/>
          </w:tcPr>
          <w:p w14:paraId="18887CFF"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Authorized </w:t>
            </w:r>
          </w:p>
        </w:tc>
        <w:tc>
          <w:tcPr>
            <w:tcW w:w="2265" w:type="dxa"/>
            <w:tcBorders>
              <w:top w:val="nil"/>
              <w:left w:val="nil"/>
              <w:bottom w:val="single" w:sz="8" w:space="0" w:color="auto"/>
              <w:right w:val="single" w:sz="8" w:space="0" w:color="auto"/>
            </w:tcBorders>
            <w:vAlign w:val="center"/>
            <w:hideMark/>
          </w:tcPr>
          <w:p w14:paraId="472FF13E" w14:textId="77777777" w:rsidR="00334D5E" w:rsidRPr="00334D5E" w:rsidRDefault="00334D5E" w:rsidP="00334D5E">
            <w:pPr>
              <w:rPr>
                <w:rFonts w:ascii="Calibri" w:hAnsi="Calibri"/>
                <w:snapToGrid w:val="0"/>
                <w:kern w:val="28"/>
                <w:sz w:val="18"/>
                <w:szCs w:val="18"/>
                <w:lang w:eastAsia="ja-JP"/>
              </w:rPr>
            </w:pPr>
            <w:r w:rsidRPr="00334D5E">
              <w:rPr>
                <w:rFonts w:ascii="Calibri" w:hAnsi="Calibri"/>
                <w:snapToGrid w:val="0"/>
                <w:kern w:val="28"/>
                <w:sz w:val="18"/>
                <w:szCs w:val="18"/>
                <w:lang w:eastAsia="ja-JP"/>
              </w:rPr>
              <w:t xml:space="preserve">The relevant documents of IALA only stipulate the requirements of the frequency deviation index, but do not give the specific realization method, and this patent is the specific research results of the realization of this index. </w:t>
            </w:r>
          </w:p>
        </w:tc>
      </w:tr>
      <w:bookmarkEnd w:id="2"/>
      <w:bookmarkEnd w:id="3"/>
    </w:tbl>
    <w:p w14:paraId="5A043718" w14:textId="424D83E5" w:rsidR="007E2484" w:rsidRPr="007E2484" w:rsidRDefault="007E2484" w:rsidP="005B1AFE">
      <w:pPr>
        <w:rPr>
          <w:rFonts w:ascii="Calibri" w:hAnsi="Calibri"/>
          <w:i/>
          <w:iCs/>
          <w:snapToGrid w:val="0"/>
          <w:kern w:val="28"/>
          <w:lang w:val="fr-FR" w:eastAsia="ja-JP"/>
        </w:rPr>
      </w:pPr>
    </w:p>
    <w:sectPr w:rsidR="007E2484" w:rsidRPr="007E2484" w:rsidSect="002471C8">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3E6E7" w14:textId="77777777" w:rsidR="00EF248A" w:rsidRDefault="00EF248A" w:rsidP="00362CD9">
      <w:r>
        <w:separator/>
      </w:r>
    </w:p>
  </w:endnote>
  <w:endnote w:type="continuationSeparator" w:id="0">
    <w:p w14:paraId="0CA76669" w14:textId="77777777" w:rsidR="00EF248A" w:rsidRDefault="00EF24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AD9A66A" w:rsidR="00362CD9" w:rsidRPr="00036B9E" w:rsidRDefault="00362CD9">
    <w:pPr>
      <w:pStyle w:val="a7"/>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78435" w14:textId="77777777" w:rsidR="00EF248A" w:rsidRDefault="00EF248A" w:rsidP="00362CD9">
      <w:r>
        <w:separator/>
      </w:r>
    </w:p>
  </w:footnote>
  <w:footnote w:type="continuationSeparator" w:id="0">
    <w:p w14:paraId="60BE1916" w14:textId="77777777" w:rsidR="00EF248A" w:rsidRDefault="00EF248A" w:rsidP="00362CD9">
      <w:r>
        <w:continuationSeparator/>
      </w:r>
    </w:p>
  </w:footnote>
  <w:footnote w:id="1">
    <w:p w14:paraId="741FE09C" w14:textId="56CC54BF" w:rsidR="00420A38" w:rsidRPr="00EA5A97" w:rsidRDefault="00420A38">
      <w:pPr>
        <w:pStyle w:val="af0"/>
        <w:rPr>
          <w:lang w:val="en-US"/>
        </w:rPr>
      </w:pPr>
      <w:r>
        <w:rPr>
          <w:rStyle w:val="af"/>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af0"/>
      </w:pPr>
      <w:r w:rsidRPr="00037DF4">
        <w:rPr>
          <w:rStyle w:val="af"/>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655F08A4" w:rsidR="007C346C" w:rsidRDefault="007A395D" w:rsidP="007A395D">
    <w:pPr>
      <w:pStyle w:val="a9"/>
      <w:jc w:val="right"/>
    </w:pPr>
    <w:r>
      <w:rPr>
        <w:noProof/>
      </w:rPr>
      <w:drawing>
        <wp:anchor distT="0" distB="0" distL="114300" distR="114300" simplePos="0" relativeHeight="251665408" behindDoc="0" locked="0" layoutInCell="1" allowOverlap="1" wp14:anchorId="1057C1DB" wp14:editId="4107333F">
          <wp:simplePos x="0" y="0"/>
          <wp:positionH relativeFrom="column">
            <wp:posOffset>5603240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a9"/>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a9"/>
      <w:jc w:val="center"/>
    </w:pPr>
  </w:p>
  <w:p w14:paraId="43F3C4F1" w14:textId="066EFD7E" w:rsidR="007C346C" w:rsidRDefault="007C346C" w:rsidP="007A395D">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7B1B3F"/>
    <w:multiLevelType w:val="hybridMultilevel"/>
    <w:tmpl w:val="7312EC8E"/>
    <w:lvl w:ilvl="0" w:tplc="7298AC0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9C37E91"/>
    <w:multiLevelType w:val="multilevel"/>
    <w:tmpl w:val="DF88F54E"/>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992"/>
        </w:tabs>
        <w:ind w:left="992" w:hanging="992"/>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663030"/>
    <w:multiLevelType w:val="hybridMultilevel"/>
    <w:tmpl w:val="C6CC128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5"/>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7"/>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6"/>
  </w:num>
  <w:num w:numId="48">
    <w:abstractNumId w:val="7"/>
  </w:num>
  <w:num w:numId="49">
    <w:abstractNumId w:val="7"/>
  </w:num>
  <w:num w:numId="5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73A"/>
    <w:rsid w:val="00026AAB"/>
    <w:rsid w:val="00030D4C"/>
    <w:rsid w:val="00034C4B"/>
    <w:rsid w:val="00036A03"/>
    <w:rsid w:val="00036B9E"/>
    <w:rsid w:val="00037DF4"/>
    <w:rsid w:val="0004700E"/>
    <w:rsid w:val="00057A87"/>
    <w:rsid w:val="00070C13"/>
    <w:rsid w:val="000715C9"/>
    <w:rsid w:val="000825D7"/>
    <w:rsid w:val="00084F33"/>
    <w:rsid w:val="000A77A7"/>
    <w:rsid w:val="000B1707"/>
    <w:rsid w:val="000C1B3E"/>
    <w:rsid w:val="000C349E"/>
    <w:rsid w:val="000C5EF2"/>
    <w:rsid w:val="00110AE7"/>
    <w:rsid w:val="00177F4D"/>
    <w:rsid w:val="00180DDA"/>
    <w:rsid w:val="00181631"/>
    <w:rsid w:val="001B1EC0"/>
    <w:rsid w:val="001B2A2D"/>
    <w:rsid w:val="001B5506"/>
    <w:rsid w:val="001B737D"/>
    <w:rsid w:val="001C44A3"/>
    <w:rsid w:val="001D100C"/>
    <w:rsid w:val="001E0E15"/>
    <w:rsid w:val="001F528A"/>
    <w:rsid w:val="001F704E"/>
    <w:rsid w:val="001F7A5D"/>
    <w:rsid w:val="00201722"/>
    <w:rsid w:val="002125B0"/>
    <w:rsid w:val="002415BD"/>
    <w:rsid w:val="00243228"/>
    <w:rsid w:val="002471C8"/>
    <w:rsid w:val="00251483"/>
    <w:rsid w:val="00255CAA"/>
    <w:rsid w:val="00264305"/>
    <w:rsid w:val="00274DCE"/>
    <w:rsid w:val="002A0346"/>
    <w:rsid w:val="002A4487"/>
    <w:rsid w:val="002A494A"/>
    <w:rsid w:val="002B49E9"/>
    <w:rsid w:val="002C632E"/>
    <w:rsid w:val="002D3E8B"/>
    <w:rsid w:val="002D4575"/>
    <w:rsid w:val="002D5C0C"/>
    <w:rsid w:val="002E03D1"/>
    <w:rsid w:val="002E6B74"/>
    <w:rsid w:val="002E6FCA"/>
    <w:rsid w:val="00301930"/>
    <w:rsid w:val="003065A3"/>
    <w:rsid w:val="00306BFB"/>
    <w:rsid w:val="00332016"/>
    <w:rsid w:val="00334D5E"/>
    <w:rsid w:val="00337017"/>
    <w:rsid w:val="00356CD0"/>
    <w:rsid w:val="00362CD9"/>
    <w:rsid w:val="003761CA"/>
    <w:rsid w:val="00380DAF"/>
    <w:rsid w:val="003972CE"/>
    <w:rsid w:val="003A0A83"/>
    <w:rsid w:val="003B0BB4"/>
    <w:rsid w:val="003B28F5"/>
    <w:rsid w:val="003B7B7D"/>
    <w:rsid w:val="003C54CB"/>
    <w:rsid w:val="003C7A2A"/>
    <w:rsid w:val="003D2DC1"/>
    <w:rsid w:val="003D69D0"/>
    <w:rsid w:val="003F2918"/>
    <w:rsid w:val="003F430E"/>
    <w:rsid w:val="0041088C"/>
    <w:rsid w:val="00412DD0"/>
    <w:rsid w:val="00420A38"/>
    <w:rsid w:val="00431B19"/>
    <w:rsid w:val="00460603"/>
    <w:rsid w:val="004661AD"/>
    <w:rsid w:val="004923F3"/>
    <w:rsid w:val="004A6C1D"/>
    <w:rsid w:val="004C3D13"/>
    <w:rsid w:val="004D1D85"/>
    <w:rsid w:val="004D3C3A"/>
    <w:rsid w:val="004E1CD1"/>
    <w:rsid w:val="004E2A37"/>
    <w:rsid w:val="004F7EFC"/>
    <w:rsid w:val="00506C0D"/>
    <w:rsid w:val="005107EB"/>
    <w:rsid w:val="00511277"/>
    <w:rsid w:val="00521345"/>
    <w:rsid w:val="00526DF0"/>
    <w:rsid w:val="00545CC4"/>
    <w:rsid w:val="00551FFF"/>
    <w:rsid w:val="005607A2"/>
    <w:rsid w:val="0057198B"/>
    <w:rsid w:val="00571F70"/>
    <w:rsid w:val="00573CFE"/>
    <w:rsid w:val="0057460F"/>
    <w:rsid w:val="005775A5"/>
    <w:rsid w:val="00587CB7"/>
    <w:rsid w:val="005969F2"/>
    <w:rsid w:val="00597FAE"/>
    <w:rsid w:val="005A3433"/>
    <w:rsid w:val="005B1AFE"/>
    <w:rsid w:val="005B32A3"/>
    <w:rsid w:val="005C0D44"/>
    <w:rsid w:val="005C566C"/>
    <w:rsid w:val="005C7E69"/>
    <w:rsid w:val="005E0F64"/>
    <w:rsid w:val="005E262D"/>
    <w:rsid w:val="005F23D3"/>
    <w:rsid w:val="005F7167"/>
    <w:rsid w:val="005F7E20"/>
    <w:rsid w:val="00601DB5"/>
    <w:rsid w:val="00602DF2"/>
    <w:rsid w:val="00604018"/>
    <w:rsid w:val="00605E43"/>
    <w:rsid w:val="006153BB"/>
    <w:rsid w:val="006652C3"/>
    <w:rsid w:val="00691FD0"/>
    <w:rsid w:val="00692148"/>
    <w:rsid w:val="006A1A1E"/>
    <w:rsid w:val="006C5948"/>
    <w:rsid w:val="006D3734"/>
    <w:rsid w:val="006F2A74"/>
    <w:rsid w:val="007000D4"/>
    <w:rsid w:val="007118F5"/>
    <w:rsid w:val="00712AA4"/>
    <w:rsid w:val="00713634"/>
    <w:rsid w:val="007146C4"/>
    <w:rsid w:val="00714E8B"/>
    <w:rsid w:val="00721AA1"/>
    <w:rsid w:val="00724B67"/>
    <w:rsid w:val="007547F8"/>
    <w:rsid w:val="00765622"/>
    <w:rsid w:val="00770B6C"/>
    <w:rsid w:val="00783FEA"/>
    <w:rsid w:val="007A395D"/>
    <w:rsid w:val="007B6BD5"/>
    <w:rsid w:val="007C346C"/>
    <w:rsid w:val="007D7B01"/>
    <w:rsid w:val="007E2484"/>
    <w:rsid w:val="007E6479"/>
    <w:rsid w:val="0080294B"/>
    <w:rsid w:val="0082480E"/>
    <w:rsid w:val="008368E1"/>
    <w:rsid w:val="00850293"/>
    <w:rsid w:val="00851373"/>
    <w:rsid w:val="00851BA6"/>
    <w:rsid w:val="0085654D"/>
    <w:rsid w:val="00861160"/>
    <w:rsid w:val="0086654F"/>
    <w:rsid w:val="008A356F"/>
    <w:rsid w:val="008A4653"/>
    <w:rsid w:val="008A4717"/>
    <w:rsid w:val="008A50CC"/>
    <w:rsid w:val="008A6D49"/>
    <w:rsid w:val="008B3040"/>
    <w:rsid w:val="008C4E4F"/>
    <w:rsid w:val="008C574F"/>
    <w:rsid w:val="008D1694"/>
    <w:rsid w:val="008D6C1F"/>
    <w:rsid w:val="008D79CB"/>
    <w:rsid w:val="008F07BC"/>
    <w:rsid w:val="0091760D"/>
    <w:rsid w:val="0092692B"/>
    <w:rsid w:val="00930561"/>
    <w:rsid w:val="00943E9C"/>
    <w:rsid w:val="00953F4D"/>
    <w:rsid w:val="00960BB8"/>
    <w:rsid w:val="00964F5C"/>
    <w:rsid w:val="00970F06"/>
    <w:rsid w:val="00973B57"/>
    <w:rsid w:val="00975353"/>
    <w:rsid w:val="00975900"/>
    <w:rsid w:val="009831C0"/>
    <w:rsid w:val="009905CF"/>
    <w:rsid w:val="0099161D"/>
    <w:rsid w:val="009C0383"/>
    <w:rsid w:val="009E0827"/>
    <w:rsid w:val="00A0389B"/>
    <w:rsid w:val="00A14D1C"/>
    <w:rsid w:val="00A15597"/>
    <w:rsid w:val="00A23944"/>
    <w:rsid w:val="00A33A3C"/>
    <w:rsid w:val="00A446C9"/>
    <w:rsid w:val="00A57CD5"/>
    <w:rsid w:val="00A635D6"/>
    <w:rsid w:val="00A848B0"/>
    <w:rsid w:val="00A8553A"/>
    <w:rsid w:val="00A93AED"/>
    <w:rsid w:val="00AB3589"/>
    <w:rsid w:val="00AE06E1"/>
    <w:rsid w:val="00AE1319"/>
    <w:rsid w:val="00AE34BB"/>
    <w:rsid w:val="00AE4C96"/>
    <w:rsid w:val="00B01B75"/>
    <w:rsid w:val="00B067E5"/>
    <w:rsid w:val="00B226F2"/>
    <w:rsid w:val="00B274DF"/>
    <w:rsid w:val="00B55D43"/>
    <w:rsid w:val="00B56BDF"/>
    <w:rsid w:val="00B61923"/>
    <w:rsid w:val="00B65812"/>
    <w:rsid w:val="00B766DC"/>
    <w:rsid w:val="00B85CD6"/>
    <w:rsid w:val="00B8664C"/>
    <w:rsid w:val="00B90A27"/>
    <w:rsid w:val="00B9554D"/>
    <w:rsid w:val="00BB2B9F"/>
    <w:rsid w:val="00BB47E8"/>
    <w:rsid w:val="00BB7D9E"/>
    <w:rsid w:val="00BC2334"/>
    <w:rsid w:val="00BC26AB"/>
    <w:rsid w:val="00BD3CB8"/>
    <w:rsid w:val="00BD4E6F"/>
    <w:rsid w:val="00BF32F0"/>
    <w:rsid w:val="00BF4DCE"/>
    <w:rsid w:val="00C05CE5"/>
    <w:rsid w:val="00C2524F"/>
    <w:rsid w:val="00C40982"/>
    <w:rsid w:val="00C40C8D"/>
    <w:rsid w:val="00C60258"/>
    <w:rsid w:val="00C6171E"/>
    <w:rsid w:val="00C670A4"/>
    <w:rsid w:val="00C71D89"/>
    <w:rsid w:val="00C81582"/>
    <w:rsid w:val="00CA6F2C"/>
    <w:rsid w:val="00CB6C1B"/>
    <w:rsid w:val="00CD6A13"/>
    <w:rsid w:val="00CF1871"/>
    <w:rsid w:val="00D01874"/>
    <w:rsid w:val="00D019CE"/>
    <w:rsid w:val="00D1133E"/>
    <w:rsid w:val="00D17A34"/>
    <w:rsid w:val="00D26628"/>
    <w:rsid w:val="00D332B3"/>
    <w:rsid w:val="00D43998"/>
    <w:rsid w:val="00D55207"/>
    <w:rsid w:val="00D579DB"/>
    <w:rsid w:val="00D81801"/>
    <w:rsid w:val="00D92B45"/>
    <w:rsid w:val="00D95962"/>
    <w:rsid w:val="00DA1499"/>
    <w:rsid w:val="00DC389B"/>
    <w:rsid w:val="00DD0ADC"/>
    <w:rsid w:val="00DE2FEE"/>
    <w:rsid w:val="00DF1467"/>
    <w:rsid w:val="00DF25EC"/>
    <w:rsid w:val="00E00BE9"/>
    <w:rsid w:val="00E063CB"/>
    <w:rsid w:val="00E22A11"/>
    <w:rsid w:val="00E24B28"/>
    <w:rsid w:val="00E31E5C"/>
    <w:rsid w:val="00E40E0E"/>
    <w:rsid w:val="00E44DD2"/>
    <w:rsid w:val="00E558C3"/>
    <w:rsid w:val="00E55927"/>
    <w:rsid w:val="00E60540"/>
    <w:rsid w:val="00E77122"/>
    <w:rsid w:val="00E912A6"/>
    <w:rsid w:val="00EA4844"/>
    <w:rsid w:val="00EA4D9C"/>
    <w:rsid w:val="00EA5A97"/>
    <w:rsid w:val="00EB2248"/>
    <w:rsid w:val="00EB75EE"/>
    <w:rsid w:val="00EC257E"/>
    <w:rsid w:val="00EE3CC5"/>
    <w:rsid w:val="00EE446D"/>
    <w:rsid w:val="00EE4C1D"/>
    <w:rsid w:val="00EF248A"/>
    <w:rsid w:val="00EF3685"/>
    <w:rsid w:val="00EF6C44"/>
    <w:rsid w:val="00F0352C"/>
    <w:rsid w:val="00F04350"/>
    <w:rsid w:val="00F0457A"/>
    <w:rsid w:val="00F12B0D"/>
    <w:rsid w:val="00F133DB"/>
    <w:rsid w:val="00F159EB"/>
    <w:rsid w:val="00F25BF4"/>
    <w:rsid w:val="00F267DB"/>
    <w:rsid w:val="00F46F6F"/>
    <w:rsid w:val="00F60608"/>
    <w:rsid w:val="00F62217"/>
    <w:rsid w:val="00F65B5D"/>
    <w:rsid w:val="00F77904"/>
    <w:rsid w:val="00F95044"/>
    <w:rsid w:val="00FB17A9"/>
    <w:rsid w:val="00FB527C"/>
    <w:rsid w:val="00FB6F75"/>
    <w:rsid w:val="00FC0EB3"/>
    <w:rsid w:val="00FD675E"/>
    <w:rsid w:val="00FE0A2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B17A9"/>
    <w:rPr>
      <w:rFonts w:ascii="Arial" w:hAnsi="Arial" w:cs="Calibri"/>
      <w:sz w:val="22"/>
      <w:szCs w:val="22"/>
    </w:rPr>
  </w:style>
  <w:style w:type="paragraph" w:styleId="1">
    <w:name w:val="heading 1"/>
    <w:basedOn w:val="a0"/>
    <w:next w:val="a1"/>
    <w:link w:val="10"/>
    <w:qFormat/>
    <w:rsid w:val="00605E43"/>
    <w:pPr>
      <w:keepNext/>
      <w:numPr>
        <w:numId w:val="37"/>
      </w:numPr>
      <w:spacing w:before="240" w:after="240"/>
      <w:outlineLvl w:val="0"/>
    </w:pPr>
    <w:rPr>
      <w:rFonts w:ascii="Calibri" w:hAnsi="Calibri"/>
      <w:b/>
      <w:caps/>
      <w:color w:val="0070C0"/>
      <w:kern w:val="28"/>
      <w:sz w:val="24"/>
      <w:lang w:eastAsia="de-DE"/>
    </w:rPr>
  </w:style>
  <w:style w:type="paragraph" w:styleId="2">
    <w:name w:val="heading 2"/>
    <w:basedOn w:val="a0"/>
    <w:next w:val="a1"/>
    <w:link w:val="20"/>
    <w:qFormat/>
    <w:rsid w:val="00605E43"/>
    <w:pPr>
      <w:numPr>
        <w:ilvl w:val="1"/>
        <w:numId w:val="37"/>
      </w:numPr>
      <w:spacing w:before="120" w:after="120"/>
      <w:outlineLvl w:val="1"/>
    </w:pPr>
    <w:rPr>
      <w:rFonts w:ascii="Calibri" w:hAnsi="Calibri"/>
      <w:b/>
      <w:color w:val="0070C0"/>
      <w:sz w:val="24"/>
      <w:szCs w:val="24"/>
    </w:rPr>
  </w:style>
  <w:style w:type="paragraph" w:styleId="3">
    <w:name w:val="heading 3"/>
    <w:basedOn w:val="a0"/>
    <w:next w:val="a1"/>
    <w:link w:val="30"/>
    <w:qFormat/>
    <w:rsid w:val="00D332B3"/>
    <w:pPr>
      <w:keepNext/>
      <w:numPr>
        <w:ilvl w:val="2"/>
        <w:numId w:val="37"/>
      </w:numPr>
      <w:spacing w:before="120" w:after="120"/>
      <w:outlineLvl w:val="2"/>
    </w:pPr>
    <w:rPr>
      <w:szCs w:val="20"/>
      <w:lang w:eastAsia="de-DE"/>
    </w:rPr>
  </w:style>
  <w:style w:type="paragraph" w:styleId="4">
    <w:name w:val="heading 4"/>
    <w:basedOn w:val="a0"/>
    <w:next w:val="a2"/>
    <w:link w:val="40"/>
    <w:rsid w:val="00D332B3"/>
    <w:pPr>
      <w:keepNext/>
      <w:numPr>
        <w:ilvl w:val="3"/>
        <w:numId w:val="37"/>
      </w:numPr>
      <w:spacing w:before="120" w:after="120"/>
      <w:outlineLvl w:val="3"/>
    </w:pPr>
    <w:rPr>
      <w:szCs w:val="20"/>
      <w:lang w:val="en-US" w:eastAsia="de-DE"/>
    </w:rPr>
  </w:style>
  <w:style w:type="paragraph" w:styleId="5">
    <w:name w:val="heading 5"/>
    <w:basedOn w:val="a0"/>
    <w:next w:val="a0"/>
    <w:link w:val="50"/>
    <w:rsid w:val="00D332B3"/>
    <w:pPr>
      <w:numPr>
        <w:ilvl w:val="4"/>
        <w:numId w:val="37"/>
      </w:numPr>
      <w:spacing w:before="240" w:after="120"/>
      <w:outlineLvl w:val="4"/>
    </w:pPr>
    <w:rPr>
      <w:rFonts w:eastAsia="Times New Roman" w:cs="Times New Roman"/>
      <w:szCs w:val="20"/>
      <w:lang w:val="de-DE" w:eastAsia="de-DE"/>
    </w:rPr>
  </w:style>
  <w:style w:type="paragraph" w:styleId="6">
    <w:name w:val="heading 6"/>
    <w:basedOn w:val="a0"/>
    <w:next w:val="21"/>
    <w:link w:val="60"/>
    <w:rsid w:val="00D332B3"/>
    <w:pPr>
      <w:numPr>
        <w:ilvl w:val="5"/>
        <w:numId w:val="37"/>
      </w:numPr>
      <w:tabs>
        <w:tab w:val="left" w:pos="1418"/>
      </w:tabs>
      <w:spacing w:before="120" w:after="120"/>
      <w:outlineLvl w:val="5"/>
    </w:pPr>
    <w:rPr>
      <w:szCs w:val="20"/>
      <w:lang w:val="de-DE" w:eastAsia="de-DE"/>
    </w:rPr>
  </w:style>
  <w:style w:type="paragraph" w:styleId="7">
    <w:name w:val="heading 7"/>
    <w:basedOn w:val="a0"/>
    <w:next w:val="21"/>
    <w:link w:val="70"/>
    <w:rsid w:val="00D332B3"/>
    <w:pPr>
      <w:numPr>
        <w:ilvl w:val="6"/>
        <w:numId w:val="37"/>
      </w:numPr>
      <w:tabs>
        <w:tab w:val="left" w:pos="1701"/>
      </w:tabs>
      <w:spacing w:before="120" w:after="120"/>
      <w:outlineLvl w:val="6"/>
    </w:pPr>
    <w:rPr>
      <w:szCs w:val="20"/>
      <w:lang w:val="de-DE" w:eastAsia="de-DE"/>
    </w:rPr>
  </w:style>
  <w:style w:type="paragraph" w:styleId="8">
    <w:name w:val="heading 8"/>
    <w:basedOn w:val="a0"/>
    <w:next w:val="21"/>
    <w:link w:val="80"/>
    <w:rsid w:val="00D332B3"/>
    <w:pPr>
      <w:numPr>
        <w:ilvl w:val="7"/>
        <w:numId w:val="37"/>
      </w:numPr>
      <w:tabs>
        <w:tab w:val="left" w:pos="1985"/>
      </w:tabs>
      <w:spacing w:before="120" w:after="120"/>
      <w:outlineLvl w:val="7"/>
    </w:pPr>
    <w:rPr>
      <w:szCs w:val="20"/>
      <w:lang w:val="de-DE" w:eastAsia="de-DE"/>
    </w:rPr>
  </w:style>
  <w:style w:type="paragraph" w:styleId="9">
    <w:name w:val="heading 9"/>
    <w:basedOn w:val="a0"/>
    <w:next w:val="21"/>
    <w:link w:val="90"/>
    <w:rsid w:val="00D332B3"/>
    <w:pPr>
      <w:numPr>
        <w:ilvl w:val="8"/>
        <w:numId w:val="37"/>
      </w:numPr>
      <w:tabs>
        <w:tab w:val="left" w:pos="2268"/>
      </w:tabs>
      <w:spacing w:before="120" w:after="120"/>
      <w:outlineLvl w:val="8"/>
    </w:pPr>
    <w:rPr>
      <w:szCs w:val="20"/>
      <w:lang w:val="de-DE" w:eastAsia="de-D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标题 1 字符"/>
    <w:link w:val="1"/>
    <w:rsid w:val="00605E43"/>
    <w:rPr>
      <w:rFonts w:cs="Calibri"/>
      <w:b/>
      <w:caps/>
      <w:color w:val="0070C0"/>
      <w:kern w:val="28"/>
      <w:sz w:val="24"/>
      <w:szCs w:val="22"/>
      <w:lang w:eastAsia="de-DE"/>
    </w:rPr>
  </w:style>
  <w:style w:type="character" w:customStyle="1" w:styleId="20">
    <w:name w:val="标题 2 字符"/>
    <w:link w:val="2"/>
    <w:rsid w:val="00605E43"/>
    <w:rPr>
      <w:rFonts w:cs="Calibri"/>
      <w:b/>
      <w:color w:val="0070C0"/>
      <w:sz w:val="24"/>
      <w:szCs w:val="24"/>
    </w:rPr>
  </w:style>
  <w:style w:type="paragraph" w:customStyle="1" w:styleId="Annex">
    <w:name w:val="Annex"/>
    <w:basedOn w:val="1"/>
    <w:next w:val="a0"/>
    <w:qFormat/>
    <w:rsid w:val="007A395D"/>
    <w:pPr>
      <w:numPr>
        <w:numId w:val="4"/>
      </w:numPr>
      <w:tabs>
        <w:tab w:val="left" w:pos="1701"/>
      </w:tabs>
      <w:jc w:val="both"/>
    </w:pPr>
    <w:rPr>
      <w:snapToGrid w:val="0"/>
      <w:kern w:val="0"/>
      <w:lang w:eastAsia="en-GB"/>
    </w:rPr>
  </w:style>
  <w:style w:type="paragraph" w:customStyle="1" w:styleId="AnnexFigure">
    <w:name w:val="Annex Figure"/>
    <w:basedOn w:val="a0"/>
    <w:next w:val="a0"/>
    <w:rsid w:val="008D1694"/>
    <w:pPr>
      <w:numPr>
        <w:numId w:val="5"/>
      </w:numPr>
      <w:spacing w:before="120" w:after="120"/>
      <w:jc w:val="center"/>
    </w:pPr>
    <w:rPr>
      <w:i/>
    </w:rPr>
  </w:style>
  <w:style w:type="paragraph" w:customStyle="1" w:styleId="AnnexHeading1">
    <w:name w:val="Annex Heading 1"/>
    <w:basedOn w:val="a0"/>
    <w:next w:val="a1"/>
    <w:rsid w:val="008D1694"/>
    <w:pPr>
      <w:numPr>
        <w:numId w:val="6"/>
      </w:numPr>
      <w:spacing w:before="120" w:after="120"/>
    </w:pPr>
    <w:rPr>
      <w:rFonts w:cs="Arial"/>
      <w:b/>
      <w:caps/>
      <w:sz w:val="24"/>
    </w:rPr>
  </w:style>
  <w:style w:type="paragraph" w:customStyle="1" w:styleId="AnnexHeading2">
    <w:name w:val="Annex Heading 2"/>
    <w:basedOn w:val="a0"/>
    <w:next w:val="a1"/>
    <w:rsid w:val="008D1694"/>
    <w:pPr>
      <w:numPr>
        <w:ilvl w:val="1"/>
        <w:numId w:val="6"/>
      </w:numPr>
      <w:spacing w:before="120" w:after="120"/>
    </w:pPr>
    <w:rPr>
      <w:rFonts w:cs="Arial"/>
      <w:b/>
    </w:rPr>
  </w:style>
  <w:style w:type="paragraph" w:customStyle="1" w:styleId="AnnexHeading3">
    <w:name w:val="Annex Heading 3"/>
    <w:basedOn w:val="a0"/>
    <w:next w:val="a0"/>
    <w:rsid w:val="008D1694"/>
    <w:pPr>
      <w:numPr>
        <w:ilvl w:val="2"/>
        <w:numId w:val="6"/>
      </w:numPr>
      <w:spacing w:before="120" w:after="120"/>
    </w:pPr>
    <w:rPr>
      <w:rFonts w:cs="Arial"/>
    </w:rPr>
  </w:style>
  <w:style w:type="paragraph" w:customStyle="1" w:styleId="AnnexHeading4">
    <w:name w:val="Annex Heading 4"/>
    <w:basedOn w:val="a0"/>
    <w:next w:val="a1"/>
    <w:rsid w:val="008D1694"/>
    <w:pPr>
      <w:numPr>
        <w:ilvl w:val="3"/>
        <w:numId w:val="6"/>
      </w:numPr>
      <w:spacing w:before="120" w:after="120"/>
    </w:pPr>
    <w:rPr>
      <w:rFonts w:cs="Arial"/>
    </w:rPr>
  </w:style>
  <w:style w:type="paragraph" w:customStyle="1" w:styleId="AnnexTable">
    <w:name w:val="Annex Table"/>
    <w:basedOn w:val="a0"/>
    <w:next w:val="a0"/>
    <w:rsid w:val="008D1694"/>
    <w:pPr>
      <w:numPr>
        <w:numId w:val="7"/>
      </w:numPr>
      <w:tabs>
        <w:tab w:val="left" w:pos="1418"/>
      </w:tabs>
      <w:spacing w:before="120" w:after="120"/>
      <w:jc w:val="center"/>
    </w:pPr>
    <w:rPr>
      <w:i/>
    </w:rPr>
  </w:style>
  <w:style w:type="paragraph" w:styleId="a1">
    <w:name w:val="Body Text"/>
    <w:basedOn w:val="a0"/>
    <w:link w:val="a6"/>
    <w:qFormat/>
    <w:rsid w:val="00D43998"/>
    <w:pPr>
      <w:spacing w:after="120"/>
      <w:jc w:val="both"/>
    </w:pPr>
    <w:rPr>
      <w:rFonts w:asciiTheme="minorHAnsi" w:hAnsiTheme="minorHAnsi" w:cstheme="minorHAnsi"/>
      <w:lang w:val="en-US"/>
    </w:rPr>
  </w:style>
  <w:style w:type="character" w:customStyle="1" w:styleId="a6">
    <w:name w:val="正文文本 字符"/>
    <w:link w:val="a1"/>
    <w:rsid w:val="00D43998"/>
    <w:rPr>
      <w:rFonts w:asciiTheme="minorHAnsi" w:hAnsiTheme="minorHAnsi" w:cstheme="minorHAnsi"/>
      <w:sz w:val="22"/>
      <w:szCs w:val="22"/>
      <w:lang w:val="en-US"/>
    </w:rPr>
  </w:style>
  <w:style w:type="paragraph" w:customStyle="1" w:styleId="Bullet1">
    <w:name w:val="Bullet 1"/>
    <w:basedOn w:val="a0"/>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a0"/>
    <w:rsid w:val="008D1694"/>
    <w:pPr>
      <w:suppressAutoHyphens/>
      <w:spacing w:after="120"/>
      <w:ind w:left="1134"/>
      <w:jc w:val="both"/>
    </w:pPr>
    <w:rPr>
      <w:rFonts w:cs="Arial"/>
      <w:lang w:val="fr-FR"/>
    </w:rPr>
  </w:style>
  <w:style w:type="paragraph" w:customStyle="1" w:styleId="Bullet2">
    <w:name w:val="Bullet 2"/>
    <w:basedOn w:val="a0"/>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a0"/>
    <w:rsid w:val="008D1694"/>
    <w:pPr>
      <w:suppressAutoHyphens/>
      <w:spacing w:after="120"/>
      <w:ind w:left="1701"/>
      <w:jc w:val="both"/>
    </w:pPr>
    <w:rPr>
      <w:rFonts w:cs="Arial"/>
    </w:rPr>
  </w:style>
  <w:style w:type="paragraph" w:customStyle="1" w:styleId="Bullet3">
    <w:name w:val="Bullet 3"/>
    <w:basedOn w:val="a0"/>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a0"/>
    <w:rsid w:val="008D1694"/>
    <w:pPr>
      <w:suppressAutoHyphens/>
      <w:spacing w:after="60"/>
      <w:ind w:left="2268"/>
    </w:pPr>
    <w:rPr>
      <w:rFonts w:cs="Arial"/>
      <w:sz w:val="20"/>
    </w:rPr>
  </w:style>
  <w:style w:type="paragraph" w:customStyle="1" w:styleId="Figure">
    <w:name w:val="Figure_#"/>
    <w:basedOn w:val="a0"/>
    <w:next w:val="a0"/>
    <w:qFormat/>
    <w:rsid w:val="008D1694"/>
    <w:pPr>
      <w:numPr>
        <w:numId w:val="13"/>
      </w:numPr>
      <w:spacing w:before="120" w:after="120"/>
      <w:jc w:val="center"/>
    </w:pPr>
    <w:rPr>
      <w:i/>
      <w:szCs w:val="20"/>
    </w:rPr>
  </w:style>
  <w:style w:type="paragraph" w:styleId="a7">
    <w:name w:val="footer"/>
    <w:basedOn w:val="a0"/>
    <w:link w:val="a8"/>
    <w:rsid w:val="008D1694"/>
    <w:pPr>
      <w:tabs>
        <w:tab w:val="center" w:pos="4820"/>
        <w:tab w:val="right" w:pos="9639"/>
      </w:tabs>
    </w:pPr>
  </w:style>
  <w:style w:type="character" w:customStyle="1" w:styleId="a8">
    <w:name w:val="页脚 字符"/>
    <w:link w:val="a7"/>
    <w:rsid w:val="00084F33"/>
    <w:rPr>
      <w:rFonts w:ascii="Arial" w:hAnsi="Arial" w:cs="Times New Roman"/>
      <w:szCs w:val="24"/>
    </w:rPr>
  </w:style>
  <w:style w:type="paragraph" w:styleId="a9">
    <w:name w:val="header"/>
    <w:basedOn w:val="a0"/>
    <w:link w:val="aa"/>
    <w:rsid w:val="008D1694"/>
    <w:pPr>
      <w:tabs>
        <w:tab w:val="center" w:pos="4820"/>
        <w:tab w:val="right" w:pos="9639"/>
      </w:tabs>
    </w:pPr>
  </w:style>
  <w:style w:type="character" w:customStyle="1" w:styleId="aa">
    <w:name w:val="页眉 字符"/>
    <w:link w:val="a9"/>
    <w:rsid w:val="005C566C"/>
    <w:rPr>
      <w:rFonts w:ascii="Arial" w:eastAsia="Calibri" w:hAnsi="Arial" w:cs="Times New Roman"/>
      <w:szCs w:val="24"/>
      <w:lang w:eastAsia="en-GB"/>
    </w:rPr>
  </w:style>
  <w:style w:type="character" w:customStyle="1" w:styleId="30">
    <w:name w:val="标题 3 字符"/>
    <w:link w:val="3"/>
    <w:rsid w:val="00E00BE9"/>
    <w:rPr>
      <w:rFonts w:ascii="Arial" w:hAnsi="Arial" w:cs="Calibri"/>
      <w:szCs w:val="20"/>
      <w:lang w:eastAsia="de-DE"/>
    </w:rPr>
  </w:style>
  <w:style w:type="character" w:customStyle="1" w:styleId="40">
    <w:name w:val="标题 4 字符"/>
    <w:link w:val="4"/>
    <w:rsid w:val="00E00BE9"/>
    <w:rPr>
      <w:rFonts w:ascii="Arial" w:hAnsi="Arial" w:cs="Calibri"/>
      <w:szCs w:val="20"/>
      <w:lang w:val="en-US" w:eastAsia="de-DE"/>
    </w:rPr>
  </w:style>
  <w:style w:type="character" w:customStyle="1" w:styleId="50">
    <w:name w:val="标题 5 字符"/>
    <w:link w:val="5"/>
    <w:rsid w:val="00D332B3"/>
    <w:rPr>
      <w:rFonts w:ascii="Arial" w:eastAsia="Times New Roman" w:hAnsi="Arial" w:cs="Times New Roman"/>
      <w:szCs w:val="20"/>
      <w:lang w:val="de-DE" w:eastAsia="de-DE"/>
    </w:rPr>
  </w:style>
  <w:style w:type="character" w:customStyle="1" w:styleId="60">
    <w:name w:val="标题 6 字符"/>
    <w:link w:val="6"/>
    <w:rsid w:val="00E00BE9"/>
    <w:rPr>
      <w:rFonts w:ascii="Arial" w:hAnsi="Arial" w:cs="Calibri"/>
      <w:szCs w:val="20"/>
      <w:lang w:val="de-DE" w:eastAsia="de-DE"/>
    </w:rPr>
  </w:style>
  <w:style w:type="character" w:customStyle="1" w:styleId="70">
    <w:name w:val="标题 7 字符"/>
    <w:link w:val="7"/>
    <w:rsid w:val="00E00BE9"/>
    <w:rPr>
      <w:rFonts w:ascii="Arial" w:hAnsi="Arial" w:cs="Calibri"/>
      <w:szCs w:val="20"/>
      <w:lang w:val="de-DE" w:eastAsia="de-DE"/>
    </w:rPr>
  </w:style>
  <w:style w:type="character" w:customStyle="1" w:styleId="80">
    <w:name w:val="标题 8 字符"/>
    <w:link w:val="8"/>
    <w:rsid w:val="00E00BE9"/>
    <w:rPr>
      <w:rFonts w:ascii="Arial" w:hAnsi="Arial" w:cs="Calibri"/>
      <w:szCs w:val="20"/>
      <w:lang w:val="de-DE" w:eastAsia="de-DE"/>
    </w:rPr>
  </w:style>
  <w:style w:type="character" w:customStyle="1" w:styleId="90">
    <w:name w:val="标题 9 字符"/>
    <w:link w:val="9"/>
    <w:rsid w:val="00E00BE9"/>
    <w:rPr>
      <w:rFonts w:ascii="Arial" w:hAnsi="Arial" w:cs="Calibri"/>
      <w:szCs w:val="20"/>
      <w:lang w:val="de-DE" w:eastAsia="de-DE"/>
    </w:rPr>
  </w:style>
  <w:style w:type="character" w:styleId="ab">
    <w:name w:val="Hyperlink"/>
    <w:uiPriority w:val="99"/>
    <w:rsid w:val="00FC0EB3"/>
    <w:rPr>
      <w:dstrike w:val="0"/>
      <w:bdr w:val="none" w:sz="0" w:space="0" w:color="auto"/>
      <w:vertAlign w:val="baseline"/>
    </w:rPr>
  </w:style>
  <w:style w:type="paragraph" w:customStyle="1" w:styleId="List1">
    <w:name w:val="List 1"/>
    <w:basedOn w:val="a0"/>
    <w:qFormat/>
    <w:rsid w:val="002E6B74"/>
    <w:pPr>
      <w:numPr>
        <w:numId w:val="22"/>
      </w:numPr>
      <w:spacing w:after="120"/>
      <w:jc w:val="both"/>
    </w:pPr>
    <w:rPr>
      <w:rFonts w:eastAsia="MS Mincho"/>
      <w:lang w:eastAsia="ja-JP"/>
    </w:rPr>
  </w:style>
  <w:style w:type="paragraph" w:customStyle="1" w:styleId="List1indent2">
    <w:name w:val="List 1 indent 2"/>
    <w:basedOn w:val="a0"/>
    <w:qFormat/>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a0"/>
    <w:rsid w:val="008D1694"/>
    <w:pPr>
      <w:spacing w:after="60"/>
      <w:ind w:left="1701"/>
      <w:jc w:val="both"/>
    </w:pPr>
    <w:rPr>
      <w:rFonts w:cs="Arial"/>
      <w:sz w:val="20"/>
    </w:rPr>
  </w:style>
  <w:style w:type="paragraph" w:customStyle="1" w:styleId="List1indenttext">
    <w:name w:val="List 1 indent text"/>
    <w:basedOn w:val="a0"/>
    <w:rsid w:val="008D1694"/>
    <w:pPr>
      <w:spacing w:after="120"/>
      <w:ind w:left="1134"/>
      <w:jc w:val="both"/>
    </w:pPr>
    <w:rPr>
      <w:szCs w:val="20"/>
    </w:rPr>
  </w:style>
  <w:style w:type="paragraph" w:customStyle="1" w:styleId="List1text">
    <w:name w:val="List 1 text"/>
    <w:basedOn w:val="a0"/>
    <w:qFormat/>
    <w:rsid w:val="008D1694"/>
    <w:pPr>
      <w:spacing w:after="120"/>
      <w:ind w:left="567"/>
    </w:pPr>
    <w:rPr>
      <w:rFonts w:cs="Arial"/>
    </w:rPr>
  </w:style>
  <w:style w:type="character" w:styleId="ac">
    <w:name w:val="page number"/>
    <w:basedOn w:val="a3"/>
    <w:rsid w:val="008D1694"/>
  </w:style>
  <w:style w:type="paragraph" w:styleId="ad">
    <w:name w:val="table of figures"/>
    <w:basedOn w:val="a0"/>
    <w:next w:val="a0"/>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a0"/>
    <w:next w:val="a0"/>
    <w:qFormat/>
    <w:rsid w:val="008D1694"/>
    <w:pPr>
      <w:numPr>
        <w:numId w:val="18"/>
      </w:numPr>
      <w:spacing w:before="120" w:after="120"/>
      <w:jc w:val="center"/>
    </w:pPr>
    <w:rPr>
      <w:i/>
      <w:szCs w:val="20"/>
    </w:rPr>
  </w:style>
  <w:style w:type="paragraph" w:styleId="TOC1">
    <w:name w:val="toc 1"/>
    <w:basedOn w:val="a0"/>
    <w:next w:val="a0"/>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a0"/>
    <w:next w:val="a0"/>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a0"/>
    <w:next w:val="a0"/>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a0"/>
    <w:next w:val="a0"/>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a0"/>
    <w:next w:val="a0"/>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a0"/>
    <w:next w:val="a0"/>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a0"/>
    <w:next w:val="a0"/>
    <w:autoRedefine/>
    <w:semiHidden/>
    <w:rsid w:val="00243228"/>
    <w:pPr>
      <w:ind w:left="1200"/>
    </w:pPr>
    <w:rPr>
      <w:sz w:val="20"/>
      <w:szCs w:val="20"/>
    </w:rPr>
  </w:style>
  <w:style w:type="paragraph" w:styleId="TOC8">
    <w:name w:val="toc 8"/>
    <w:basedOn w:val="a0"/>
    <w:next w:val="a0"/>
    <w:autoRedefine/>
    <w:semiHidden/>
    <w:rsid w:val="00243228"/>
    <w:pPr>
      <w:ind w:left="1440"/>
    </w:pPr>
    <w:rPr>
      <w:sz w:val="20"/>
      <w:szCs w:val="20"/>
    </w:rPr>
  </w:style>
  <w:style w:type="paragraph" w:styleId="TOC9">
    <w:name w:val="toc 9"/>
    <w:basedOn w:val="a0"/>
    <w:next w:val="a0"/>
    <w:autoRedefine/>
    <w:semiHidden/>
    <w:rsid w:val="00243228"/>
    <w:pPr>
      <w:ind w:left="1680"/>
    </w:pPr>
    <w:rPr>
      <w:sz w:val="20"/>
      <w:szCs w:val="20"/>
    </w:rPr>
  </w:style>
  <w:style w:type="numbering" w:styleId="a">
    <w:name w:val="Outline List 3"/>
    <w:basedOn w:val="a5"/>
    <w:rsid w:val="008D1694"/>
    <w:pPr>
      <w:numPr>
        <w:numId w:val="9"/>
      </w:numPr>
    </w:pPr>
  </w:style>
  <w:style w:type="paragraph" w:styleId="a2">
    <w:name w:val="Body Text Indent"/>
    <w:basedOn w:val="a0"/>
    <w:link w:val="ae"/>
    <w:rsid w:val="008D1694"/>
    <w:pPr>
      <w:spacing w:after="120"/>
      <w:ind w:left="567"/>
    </w:pPr>
  </w:style>
  <w:style w:type="character" w:customStyle="1" w:styleId="ae">
    <w:name w:val="正文文本缩进 字符"/>
    <w:link w:val="a2"/>
    <w:rsid w:val="00243228"/>
    <w:rPr>
      <w:rFonts w:ascii="Arial" w:hAnsi="Arial" w:cs="Times New Roman"/>
      <w:szCs w:val="24"/>
    </w:rPr>
  </w:style>
  <w:style w:type="paragraph" w:styleId="21">
    <w:name w:val="Body Text Indent 2"/>
    <w:basedOn w:val="a0"/>
    <w:link w:val="22"/>
    <w:rsid w:val="008D1694"/>
    <w:pPr>
      <w:spacing w:after="120"/>
      <w:ind w:left="1134"/>
      <w:jc w:val="both"/>
    </w:pPr>
    <w:rPr>
      <w:lang w:eastAsia="de-DE"/>
    </w:rPr>
  </w:style>
  <w:style w:type="character" w:customStyle="1" w:styleId="22">
    <w:name w:val="正文文本缩进 2 字符"/>
    <w:link w:val="21"/>
    <w:rsid w:val="00243228"/>
    <w:rPr>
      <w:rFonts w:ascii="Arial" w:hAnsi="Arial" w:cs="Times New Roman"/>
      <w:szCs w:val="24"/>
      <w:lang w:eastAsia="de-DE"/>
    </w:rPr>
  </w:style>
  <w:style w:type="character" w:styleId="af">
    <w:name w:val="footnote reference"/>
    <w:semiHidden/>
    <w:rsid w:val="008D1694"/>
    <w:rPr>
      <w:rFonts w:ascii="Arial" w:hAnsi="Arial"/>
      <w:sz w:val="16"/>
    </w:rPr>
  </w:style>
  <w:style w:type="paragraph" w:styleId="af0">
    <w:name w:val="footnote text"/>
    <w:basedOn w:val="a0"/>
    <w:link w:val="af1"/>
    <w:semiHidden/>
    <w:rsid w:val="00243228"/>
    <w:rPr>
      <w:sz w:val="20"/>
      <w:szCs w:val="20"/>
    </w:rPr>
  </w:style>
  <w:style w:type="character" w:customStyle="1" w:styleId="af1">
    <w:name w:val="脚注文本 字符"/>
    <w:link w:val="af0"/>
    <w:semiHidden/>
    <w:rsid w:val="00243228"/>
    <w:rPr>
      <w:rFonts w:ascii="Arial" w:hAnsi="Arial" w:cs="Times New Roman"/>
      <w:sz w:val="20"/>
      <w:szCs w:val="20"/>
    </w:rPr>
  </w:style>
  <w:style w:type="paragraph" w:styleId="af2">
    <w:name w:val="Subtitle"/>
    <w:basedOn w:val="a0"/>
    <w:link w:val="af3"/>
    <w:qFormat/>
    <w:rsid w:val="008D1694"/>
    <w:pPr>
      <w:spacing w:after="60"/>
      <w:jc w:val="center"/>
      <w:outlineLvl w:val="1"/>
    </w:pPr>
    <w:rPr>
      <w:rFonts w:cs="Arial"/>
    </w:rPr>
  </w:style>
  <w:style w:type="character" w:customStyle="1" w:styleId="af3">
    <w:name w:val="副标题 字符"/>
    <w:link w:val="af2"/>
    <w:rsid w:val="00243228"/>
    <w:rPr>
      <w:rFonts w:ascii="Arial" w:hAnsi="Arial" w:cs="Arial"/>
      <w:szCs w:val="24"/>
    </w:rPr>
  </w:style>
  <w:style w:type="paragraph" w:styleId="af4">
    <w:name w:val="Title"/>
    <w:basedOn w:val="a0"/>
    <w:link w:val="af5"/>
    <w:qFormat/>
    <w:rsid w:val="00943E9C"/>
    <w:pPr>
      <w:spacing w:before="120" w:after="240"/>
      <w:jc w:val="center"/>
      <w:outlineLvl w:val="0"/>
    </w:pPr>
    <w:rPr>
      <w:rFonts w:cs="Arial"/>
      <w:b/>
      <w:bCs/>
      <w:kern w:val="28"/>
      <w:sz w:val="32"/>
      <w:szCs w:val="32"/>
    </w:rPr>
  </w:style>
  <w:style w:type="character" w:customStyle="1" w:styleId="af5">
    <w:name w:val="标题 字符"/>
    <w:link w:val="af4"/>
    <w:rsid w:val="00943E9C"/>
    <w:rPr>
      <w:rFonts w:ascii="Arial" w:hAnsi="Arial" w:cs="Arial"/>
      <w:b/>
      <w:bCs/>
      <w:kern w:val="28"/>
      <w:sz w:val="32"/>
      <w:szCs w:val="32"/>
    </w:rPr>
  </w:style>
  <w:style w:type="paragraph" w:customStyle="1" w:styleId="List1indent1">
    <w:name w:val="List 1 indent 1"/>
    <w:basedOn w:val="a0"/>
    <w:qFormat/>
    <w:rsid w:val="00765622"/>
    <w:pPr>
      <w:numPr>
        <w:ilvl w:val="1"/>
        <w:numId w:val="22"/>
      </w:numPr>
      <w:spacing w:after="120"/>
      <w:jc w:val="both"/>
    </w:pPr>
    <w:rPr>
      <w:rFonts w:cs="Arial"/>
    </w:rPr>
  </w:style>
  <w:style w:type="paragraph" w:customStyle="1" w:styleId="List1indent1text">
    <w:name w:val="List 1 indent 1 text"/>
    <w:basedOn w:val="a0"/>
    <w:rsid w:val="008D1694"/>
    <w:pPr>
      <w:spacing w:after="120"/>
      <w:ind w:left="1134"/>
      <w:jc w:val="both"/>
    </w:pPr>
    <w:rPr>
      <w:rFonts w:cs="Arial"/>
      <w:lang w:eastAsia="fr-FR"/>
    </w:rPr>
  </w:style>
  <w:style w:type="paragraph" w:customStyle="1" w:styleId="References">
    <w:name w:val="References"/>
    <w:basedOn w:val="a0"/>
    <w:qFormat/>
    <w:rsid w:val="008D1694"/>
    <w:pPr>
      <w:numPr>
        <w:numId w:val="17"/>
      </w:numPr>
      <w:spacing w:after="120"/>
    </w:pPr>
    <w:rPr>
      <w:szCs w:val="20"/>
    </w:rPr>
  </w:style>
  <w:style w:type="paragraph" w:customStyle="1" w:styleId="AppendixHeading1">
    <w:name w:val="Appendix Heading 1"/>
    <w:basedOn w:val="a0"/>
    <w:next w:val="a1"/>
    <w:rsid w:val="008D1694"/>
    <w:pPr>
      <w:numPr>
        <w:numId w:val="8"/>
      </w:numPr>
      <w:spacing w:before="120" w:after="120"/>
    </w:pPr>
    <w:rPr>
      <w:rFonts w:cs="Arial"/>
      <w:b/>
      <w:caps/>
      <w:sz w:val="24"/>
    </w:rPr>
  </w:style>
  <w:style w:type="paragraph" w:customStyle="1" w:styleId="AppendixHeading2">
    <w:name w:val="Appendix Heading 2"/>
    <w:basedOn w:val="a0"/>
    <w:next w:val="a1"/>
    <w:rsid w:val="008D1694"/>
    <w:pPr>
      <w:numPr>
        <w:ilvl w:val="1"/>
        <w:numId w:val="8"/>
      </w:numPr>
      <w:spacing w:before="120" w:after="120"/>
    </w:pPr>
    <w:rPr>
      <w:rFonts w:cs="Arial"/>
      <w:b/>
    </w:rPr>
  </w:style>
  <w:style w:type="paragraph" w:customStyle="1" w:styleId="AppendixHeading3">
    <w:name w:val="Appendix Heading 3"/>
    <w:basedOn w:val="a0"/>
    <w:next w:val="a0"/>
    <w:rsid w:val="008D1694"/>
    <w:pPr>
      <w:numPr>
        <w:ilvl w:val="2"/>
        <w:numId w:val="8"/>
      </w:numPr>
      <w:spacing w:before="120" w:after="120"/>
    </w:pPr>
    <w:rPr>
      <w:rFonts w:cs="Arial"/>
    </w:rPr>
  </w:style>
  <w:style w:type="paragraph" w:customStyle="1" w:styleId="AppendixHeading4">
    <w:name w:val="Appendix Heading 4"/>
    <w:basedOn w:val="a0"/>
    <w:next w:val="a1"/>
    <w:rsid w:val="008D1694"/>
    <w:pPr>
      <w:numPr>
        <w:ilvl w:val="3"/>
        <w:numId w:val="8"/>
      </w:numPr>
      <w:spacing w:before="120" w:after="120"/>
    </w:pPr>
    <w:rPr>
      <w:rFonts w:cs="Arial"/>
    </w:rPr>
  </w:style>
  <w:style w:type="paragraph" w:customStyle="1" w:styleId="equation">
    <w:name w:val="equation"/>
    <w:basedOn w:val="a0"/>
    <w:next w:val="a1"/>
    <w:qFormat/>
    <w:rsid w:val="008A50CC"/>
    <w:pPr>
      <w:keepNext/>
      <w:numPr>
        <w:numId w:val="36"/>
      </w:numPr>
      <w:tabs>
        <w:tab w:val="left" w:pos="142"/>
      </w:tabs>
      <w:spacing w:after="120"/>
      <w:jc w:val="right"/>
    </w:pPr>
    <w:rPr>
      <w:rFonts w:eastAsia="Times New Roman" w:cs="Times New Roman"/>
      <w:szCs w:val="24"/>
      <w:lang w:eastAsia="en-US"/>
    </w:rPr>
  </w:style>
  <w:style w:type="table" w:styleId="af6">
    <w:name w:val="Table Grid"/>
    <w:basedOn w:val="a4"/>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a0"/>
    <w:next w:val="a0"/>
    <w:rsid w:val="002E6FCA"/>
    <w:pPr>
      <w:numPr>
        <w:numId w:val="43"/>
      </w:numPr>
      <w:spacing w:before="120" w:after="240"/>
      <w:ind w:left="1985" w:hanging="1985"/>
    </w:pPr>
    <w:rPr>
      <w:b/>
      <w:sz w:val="24"/>
      <w:szCs w:val="28"/>
      <w:lang w:eastAsia="en-US"/>
    </w:rPr>
  </w:style>
  <w:style w:type="paragraph" w:styleId="af7">
    <w:name w:val="Balloon Text"/>
    <w:basedOn w:val="a0"/>
    <w:link w:val="af8"/>
    <w:uiPriority w:val="99"/>
    <w:semiHidden/>
    <w:unhideWhenUsed/>
    <w:rsid w:val="008A356F"/>
    <w:rPr>
      <w:rFonts w:ascii="Tahoma" w:hAnsi="Tahoma" w:cs="Tahoma"/>
      <w:sz w:val="16"/>
      <w:szCs w:val="16"/>
    </w:rPr>
  </w:style>
  <w:style w:type="character" w:customStyle="1" w:styleId="af8">
    <w:name w:val="批注框文本 字符"/>
    <w:basedOn w:val="a3"/>
    <w:link w:val="af7"/>
    <w:uiPriority w:val="99"/>
    <w:semiHidden/>
    <w:rsid w:val="008A356F"/>
    <w:rPr>
      <w:rFonts w:ascii="Tahoma" w:hAnsi="Tahoma" w:cs="Tahoma"/>
      <w:sz w:val="16"/>
      <w:szCs w:val="16"/>
    </w:rPr>
  </w:style>
  <w:style w:type="paragraph" w:styleId="af9">
    <w:name w:val="List Paragraph"/>
    <w:basedOn w:val="a0"/>
    <w:uiPriority w:val="34"/>
    <w:rsid w:val="00420A38"/>
    <w:pPr>
      <w:ind w:left="720"/>
      <w:contextualSpacing/>
    </w:pPr>
  </w:style>
  <w:style w:type="character" w:styleId="afa">
    <w:name w:val="annotation reference"/>
    <w:basedOn w:val="a3"/>
    <w:uiPriority w:val="99"/>
    <w:semiHidden/>
    <w:unhideWhenUsed/>
    <w:rsid w:val="00EA5A97"/>
    <w:rPr>
      <w:sz w:val="16"/>
      <w:szCs w:val="16"/>
    </w:rPr>
  </w:style>
  <w:style w:type="paragraph" w:styleId="afb">
    <w:name w:val="annotation text"/>
    <w:basedOn w:val="a0"/>
    <w:link w:val="afc"/>
    <w:uiPriority w:val="99"/>
    <w:semiHidden/>
    <w:unhideWhenUsed/>
    <w:rsid w:val="00EA5A97"/>
    <w:rPr>
      <w:sz w:val="20"/>
      <w:szCs w:val="20"/>
    </w:rPr>
  </w:style>
  <w:style w:type="character" w:customStyle="1" w:styleId="afc">
    <w:name w:val="批注文字 字符"/>
    <w:basedOn w:val="a3"/>
    <w:link w:val="afb"/>
    <w:uiPriority w:val="99"/>
    <w:semiHidden/>
    <w:rsid w:val="00EA5A97"/>
    <w:rPr>
      <w:rFonts w:ascii="Arial" w:hAnsi="Arial" w:cs="Calibri"/>
    </w:rPr>
  </w:style>
  <w:style w:type="paragraph" w:styleId="afd">
    <w:name w:val="annotation subject"/>
    <w:basedOn w:val="afb"/>
    <w:next w:val="afb"/>
    <w:link w:val="afe"/>
    <w:uiPriority w:val="99"/>
    <w:semiHidden/>
    <w:unhideWhenUsed/>
    <w:rsid w:val="00EA5A97"/>
    <w:rPr>
      <w:b/>
      <w:bCs/>
    </w:rPr>
  </w:style>
  <w:style w:type="character" w:customStyle="1" w:styleId="afe">
    <w:name w:val="批注主题 字符"/>
    <w:basedOn w:val="afc"/>
    <w:link w:val="afd"/>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aff">
    <w:name w:val="Unresolved Mention"/>
    <w:basedOn w:val="a3"/>
    <w:uiPriority w:val="99"/>
    <w:semiHidden/>
    <w:unhideWhenUsed/>
    <w:rsid w:val="001F7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09670">
      <w:bodyDiv w:val="1"/>
      <w:marLeft w:val="0"/>
      <w:marRight w:val="0"/>
      <w:marTop w:val="0"/>
      <w:marBottom w:val="0"/>
      <w:divBdr>
        <w:top w:val="none" w:sz="0" w:space="0" w:color="auto"/>
        <w:left w:val="none" w:sz="0" w:space="0" w:color="auto"/>
        <w:bottom w:val="none" w:sz="0" w:space="0" w:color="auto"/>
        <w:right w:val="none" w:sz="0" w:space="0" w:color="auto"/>
      </w:divBdr>
    </w:div>
    <w:div w:id="208483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F79D08D-8FB0-472F-B3E5-E43C3B8F1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987</Words>
  <Characters>5630</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Shuaiheng Huai</cp:lastModifiedBy>
  <cp:revision>5</cp:revision>
  <dcterms:created xsi:type="dcterms:W3CDTF">2024-09-30T13:18:00Z</dcterms:created>
  <dcterms:modified xsi:type="dcterms:W3CDTF">2024-10-02T08:30:00Z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